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2FDE" w14:textId="756A974A" w:rsidR="008C400F" w:rsidRDefault="008C400F" w:rsidP="008C400F">
      <w:pPr>
        <w:jc w:val="center"/>
        <w:rPr>
          <w:rFonts w:ascii="Cambria" w:hAnsi="Cambria"/>
          <w:b/>
          <w:bCs/>
          <w:sz w:val="24"/>
          <w:szCs w:val="24"/>
          <w:u w:val="single"/>
        </w:rPr>
      </w:pPr>
      <w:r>
        <w:rPr>
          <w:rFonts w:ascii="Cambria" w:hAnsi="Cambria"/>
          <w:b/>
          <w:bCs/>
          <w:sz w:val="24"/>
          <w:szCs w:val="24"/>
          <w:u w:val="single"/>
        </w:rPr>
        <w:t>TALLER 17</w:t>
      </w:r>
    </w:p>
    <w:p w14:paraId="04D25DA0" w14:textId="6766827E" w:rsidR="008C400F" w:rsidRDefault="008C400F" w:rsidP="008C400F">
      <w:pPr>
        <w:jc w:val="center"/>
        <w:rPr>
          <w:rFonts w:ascii="Cambria" w:hAnsi="Cambria"/>
          <w:b/>
          <w:bCs/>
          <w:sz w:val="24"/>
          <w:szCs w:val="24"/>
          <w:u w:val="single"/>
        </w:rPr>
      </w:pPr>
      <w:r>
        <w:rPr>
          <w:rFonts w:ascii="Cambria" w:hAnsi="Cambria"/>
          <w:b/>
          <w:bCs/>
          <w:sz w:val="24"/>
          <w:szCs w:val="24"/>
          <w:u w:val="single"/>
        </w:rPr>
        <w:t>SEGUNDA GUERRA MUNDIAL</w:t>
      </w:r>
    </w:p>
    <w:tbl>
      <w:tblPr>
        <w:tblStyle w:val="Tablaconcuadrcula"/>
        <w:tblW w:w="0" w:type="auto"/>
        <w:tblLook w:val="04A0" w:firstRow="1" w:lastRow="0" w:firstColumn="1" w:lastColumn="0" w:noHBand="0" w:noVBand="1"/>
      </w:tblPr>
      <w:tblGrid>
        <w:gridCol w:w="1696"/>
        <w:gridCol w:w="7132"/>
      </w:tblGrid>
      <w:tr w:rsidR="008C400F" w:rsidRPr="003B4867" w14:paraId="618D6278" w14:textId="77777777" w:rsidTr="00F229D9">
        <w:tc>
          <w:tcPr>
            <w:tcW w:w="1696" w:type="dxa"/>
          </w:tcPr>
          <w:p w14:paraId="155E6DE9" w14:textId="77777777" w:rsidR="008C400F" w:rsidRPr="003B4867" w:rsidRDefault="008C400F" w:rsidP="00F229D9">
            <w:pPr>
              <w:jc w:val="both"/>
              <w:rPr>
                <w:rFonts w:ascii="Cambria" w:hAnsi="Cambria"/>
              </w:rPr>
            </w:pPr>
            <w:r w:rsidRPr="003B4867">
              <w:rPr>
                <w:rFonts w:ascii="Cambria" w:hAnsi="Cambria"/>
              </w:rPr>
              <w:t>Nombre</w:t>
            </w:r>
          </w:p>
        </w:tc>
        <w:tc>
          <w:tcPr>
            <w:tcW w:w="7132" w:type="dxa"/>
          </w:tcPr>
          <w:p w14:paraId="62AB529E" w14:textId="77777777" w:rsidR="008C400F" w:rsidRPr="003B4867" w:rsidRDefault="008C400F" w:rsidP="00F229D9">
            <w:pPr>
              <w:jc w:val="both"/>
              <w:rPr>
                <w:rFonts w:ascii="Cambria" w:hAnsi="Cambria"/>
              </w:rPr>
            </w:pPr>
          </w:p>
        </w:tc>
      </w:tr>
      <w:tr w:rsidR="008C400F" w:rsidRPr="003B4867" w14:paraId="6D3E886D" w14:textId="77777777" w:rsidTr="00F229D9">
        <w:tc>
          <w:tcPr>
            <w:tcW w:w="1696" w:type="dxa"/>
          </w:tcPr>
          <w:p w14:paraId="08078517" w14:textId="77777777" w:rsidR="008C400F" w:rsidRPr="003B4867" w:rsidRDefault="008C400F" w:rsidP="00F229D9">
            <w:pPr>
              <w:jc w:val="both"/>
              <w:rPr>
                <w:rFonts w:ascii="Cambria" w:hAnsi="Cambria"/>
              </w:rPr>
            </w:pPr>
            <w:r w:rsidRPr="003B4867">
              <w:rPr>
                <w:rFonts w:ascii="Cambria" w:hAnsi="Cambria"/>
              </w:rPr>
              <w:t>Fecha</w:t>
            </w:r>
          </w:p>
        </w:tc>
        <w:tc>
          <w:tcPr>
            <w:tcW w:w="7132" w:type="dxa"/>
          </w:tcPr>
          <w:p w14:paraId="2389819F" w14:textId="277A18FF" w:rsidR="008C400F" w:rsidRPr="003B4867" w:rsidRDefault="008C400F" w:rsidP="00F229D9">
            <w:pPr>
              <w:jc w:val="both"/>
              <w:rPr>
                <w:rFonts w:ascii="Cambria" w:hAnsi="Cambria"/>
              </w:rPr>
            </w:pPr>
            <w:r>
              <w:rPr>
                <w:rFonts w:ascii="Cambria" w:hAnsi="Cambria"/>
              </w:rPr>
              <w:t>23</w:t>
            </w:r>
            <w:r w:rsidRPr="003B4867">
              <w:rPr>
                <w:rFonts w:ascii="Cambria" w:hAnsi="Cambria"/>
              </w:rPr>
              <w:t>/05/2022</w:t>
            </w:r>
          </w:p>
        </w:tc>
      </w:tr>
    </w:tbl>
    <w:p w14:paraId="1304AB5F" w14:textId="77777777" w:rsidR="008C400F" w:rsidRDefault="008C400F" w:rsidP="008C400F">
      <w:pPr>
        <w:jc w:val="both"/>
        <w:rPr>
          <w:rFonts w:ascii="Cambria" w:hAnsi="Cambria"/>
          <w:b/>
          <w:bCs/>
        </w:rPr>
      </w:pPr>
    </w:p>
    <w:p w14:paraId="352F1309" w14:textId="747951FF" w:rsidR="008C400F" w:rsidRDefault="008C400F" w:rsidP="008C400F">
      <w:pPr>
        <w:jc w:val="both"/>
        <w:rPr>
          <w:rFonts w:ascii="Cambria" w:hAnsi="Cambria"/>
          <w:b/>
          <w:bCs/>
        </w:rPr>
      </w:pPr>
      <w:r>
        <w:rPr>
          <w:rFonts w:ascii="Cambria" w:hAnsi="Cambria"/>
          <w:b/>
          <w:bCs/>
        </w:rPr>
        <w:t xml:space="preserve">Objetivo: Caracterizar la Segunda Guerra Mundial a través de mapa mental para respetar las ideas y creencias distintas de las propias, considerando la importancia del diálogo para la convivencia. </w:t>
      </w:r>
    </w:p>
    <w:p w14:paraId="69FA0A99" w14:textId="77777777" w:rsidR="008C400F" w:rsidRDefault="008C400F" w:rsidP="008C400F">
      <w:pPr>
        <w:jc w:val="both"/>
        <w:rPr>
          <w:rFonts w:ascii="Cambria" w:hAnsi="Cambria"/>
          <w:b/>
          <w:bCs/>
        </w:rPr>
      </w:pPr>
      <w:r w:rsidRPr="009A01C2">
        <w:rPr>
          <w:rFonts w:ascii="Cambria" w:hAnsi="Cambria"/>
          <w:b/>
          <w:bCs/>
        </w:rPr>
        <w:t>Instrucciones:</w:t>
      </w:r>
    </w:p>
    <w:p w14:paraId="3875709D" w14:textId="1A23E2A0" w:rsidR="008C400F" w:rsidRDefault="008C400F" w:rsidP="008C400F">
      <w:pPr>
        <w:pStyle w:val="Prrafodelista"/>
        <w:numPr>
          <w:ilvl w:val="0"/>
          <w:numId w:val="1"/>
        </w:numPr>
        <w:jc w:val="both"/>
        <w:rPr>
          <w:rFonts w:ascii="Cambria" w:hAnsi="Cambria"/>
        </w:rPr>
      </w:pPr>
      <w:r>
        <w:rPr>
          <w:rFonts w:ascii="Cambria" w:hAnsi="Cambria"/>
        </w:rPr>
        <w:t>A partir de la información que se presenta realiza un mapa mental sobre las causas y características de la Segunda Guerra Mundial</w:t>
      </w:r>
    </w:p>
    <w:p w14:paraId="6DB9CDE4" w14:textId="104D5288" w:rsidR="008C400F" w:rsidRPr="00BF1FF7" w:rsidRDefault="008C400F" w:rsidP="008C400F">
      <w:pPr>
        <w:jc w:val="both"/>
        <w:rPr>
          <w:rFonts w:ascii="Cambria" w:hAnsi="Cambria"/>
          <w:sz w:val="20"/>
          <w:szCs w:val="20"/>
        </w:rPr>
      </w:pPr>
      <w:r w:rsidRPr="00BF1FF7">
        <w:rPr>
          <w:rFonts w:ascii="Cambria" w:hAnsi="Cambria"/>
          <w:sz w:val="20"/>
          <w:szCs w:val="20"/>
        </w:rPr>
        <w:t>La Segunda Guerra Mundial fue un conflicto bélico que, habiendo comenzado en Europa, se extendió en una guerra total. A diferencia de la Primera Guerra Mundial, este conflicto no comprometió solamente a las fuerzas militares, sino que involucró a las poblaciones civiles, lo que unido a la mayor capacidad de destrucción de las armas provocó que las pérdidas humanas y materiales fueran mucho mayores.</w:t>
      </w:r>
    </w:p>
    <w:p w14:paraId="0163DF09" w14:textId="6165588A" w:rsidR="008C400F" w:rsidRPr="00BF1FF7" w:rsidRDefault="008C400F" w:rsidP="008C400F">
      <w:pPr>
        <w:jc w:val="both"/>
        <w:rPr>
          <w:rFonts w:ascii="Cambria" w:hAnsi="Cambria"/>
          <w:sz w:val="20"/>
          <w:szCs w:val="20"/>
        </w:rPr>
      </w:pPr>
      <w:r w:rsidRPr="00BF1FF7">
        <w:rPr>
          <w:rFonts w:ascii="Cambria" w:hAnsi="Cambria"/>
          <w:sz w:val="20"/>
          <w:szCs w:val="20"/>
        </w:rPr>
        <w:t>Causas:</w:t>
      </w:r>
    </w:p>
    <w:p w14:paraId="08029A20" w14:textId="28CC1D3E" w:rsidR="008C400F" w:rsidRPr="00BF1FF7" w:rsidRDefault="008C400F" w:rsidP="008C400F">
      <w:pPr>
        <w:pStyle w:val="Prrafodelista"/>
        <w:numPr>
          <w:ilvl w:val="0"/>
          <w:numId w:val="2"/>
        </w:numPr>
        <w:jc w:val="both"/>
        <w:rPr>
          <w:rFonts w:ascii="Cambria" w:hAnsi="Cambria"/>
          <w:sz w:val="20"/>
          <w:szCs w:val="20"/>
        </w:rPr>
      </w:pPr>
      <w:r w:rsidRPr="00BF1FF7">
        <w:rPr>
          <w:rFonts w:ascii="Cambria" w:hAnsi="Cambria"/>
          <w:sz w:val="20"/>
          <w:szCs w:val="20"/>
        </w:rPr>
        <w:t>Paz de Versalles: Este tratado impuesto a Alemania por los vencedores de la Gran Guerra fue el semillero para crear un sentimiento nacionalista y revanchista en los alemanes. A lo largo de la década de 1930, Hitler denunció el humillante trato disipado a su país, privado de tener un ejército y de ser una potencia mundial. A su vez, las elevadas indemnizaciones que Alemania debió pagar por la Gran Guerra generaron una gran crisis económica. Por otra parte, Italia tampoco se hallaba conforme con las condiciones de paz fijadas por el tratado, y desde el año 1918 Mussolini demandó para su país el papel de gran potencia, así como el reclamo de posesiones territoriales en el continente africano y en los Balcanes.</w:t>
      </w:r>
    </w:p>
    <w:p w14:paraId="60DEFFDB" w14:textId="1648E06D" w:rsidR="008C400F" w:rsidRPr="00BF1FF7" w:rsidRDefault="008C400F" w:rsidP="008C400F">
      <w:pPr>
        <w:pStyle w:val="Prrafodelista"/>
        <w:numPr>
          <w:ilvl w:val="0"/>
          <w:numId w:val="2"/>
        </w:numPr>
        <w:jc w:val="both"/>
        <w:rPr>
          <w:rFonts w:ascii="Cambria" w:hAnsi="Cambria"/>
          <w:sz w:val="20"/>
          <w:szCs w:val="20"/>
        </w:rPr>
      </w:pPr>
      <w:r w:rsidRPr="00BF1FF7">
        <w:rPr>
          <w:rFonts w:ascii="Cambria" w:hAnsi="Cambria"/>
          <w:sz w:val="20"/>
          <w:szCs w:val="20"/>
        </w:rPr>
        <w:t>Crisis de 1929: La depresión económica que desató la Crisis del año ’29 afectó profundamente el prestigio del capitalismo liberal. La estrecha interdependencia entre las economías germana y estadounidense ayudó a que la crisis se trasladara rápidamente a Alemania. La caída de la industria, el cierre de bancos y el crecimiento del desempleo aumentaron la hostilidad hacia los gobiernos democráticos de la república de Weimar, situación que fue utilizada por Hitler al asumir el gobierno en 1933. Su gobierno optó por el intervencionismo del Estado, la planificación y una política de rearme. Por su parte, Mussolini en Italia se inclinó por el proteccionismo y la concentración industrial en grandes corporaciones estatales, en el ámbito de la política exterior, se preocupó por dotar a Italia de su propio espacio político-económico. Japón también se vio muy afectado por la crisis ya que EEUU, su principal cliente, opuso barreras aduaneras a sus exportaciones. Para los japoneses se volvió de importancia la creación de un imperio fuerte del cual extraer materias primas a la vez que aseguraban un mercado para sus productos manufacturados, este lugar lo constituyó China.</w:t>
      </w:r>
    </w:p>
    <w:p w14:paraId="04D66A0D" w14:textId="0692264E" w:rsidR="008C400F" w:rsidRPr="00BF1FF7" w:rsidRDefault="008C400F" w:rsidP="008C400F">
      <w:pPr>
        <w:pStyle w:val="Prrafodelista"/>
        <w:numPr>
          <w:ilvl w:val="0"/>
          <w:numId w:val="2"/>
        </w:numPr>
        <w:jc w:val="both"/>
        <w:rPr>
          <w:rFonts w:ascii="Cambria" w:hAnsi="Cambria"/>
          <w:sz w:val="20"/>
          <w:szCs w:val="20"/>
        </w:rPr>
      </w:pPr>
      <w:r w:rsidRPr="00BF1FF7">
        <w:rPr>
          <w:rFonts w:ascii="Cambria" w:hAnsi="Cambria"/>
          <w:sz w:val="20"/>
          <w:szCs w:val="20"/>
        </w:rPr>
        <w:t>Ascenso de los fascismos: En Alemania, Hitler se había propuesto crear un gran Estado alemán llamado Tercer Reich. Para cumplir con su objetivo, debía fomentar una política expansionista para cubrir las necesidades demográficas y de territorio que aquel Estado demandaba; para ese propósito, lo primero que debía hacer era liberarse de las limitaciones que le traía el Tratado de Versalles. Por su parte, Mussolini también manifestó intereses expansionistas con la invasión de Abisinia en 1935, mientras que Japón, aunque sin tener un régimen fascista propiamente tal, adoptó una postura autoritaria y militarista con el fin de crear un imperio hegemónico en Asia. Con esta finalidad,</w:t>
      </w:r>
      <w:r w:rsidR="00BF1FF7" w:rsidRPr="00BF1FF7">
        <w:rPr>
          <w:rFonts w:ascii="Cambria" w:hAnsi="Cambria"/>
          <w:sz w:val="20"/>
          <w:szCs w:val="20"/>
        </w:rPr>
        <w:t xml:space="preserve"> invadió Manchuria en 1931, y prontamente los intereses de Japón chocaron con los de Estados Unidos.</w:t>
      </w:r>
    </w:p>
    <w:p w14:paraId="501305B0" w14:textId="16D0961B"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 xml:space="preserve">Debilidad de las democracias: Entre los antecedentes que colocaron a las democracias occidentales en una débil posición, destaca la P.G.M. y la Crisis de 1929. Luego de la crisis, la actitud de Estados Unidos tendió al aislamiento y la neutralidad, situación que sirvió para reivindicar concesiones territoriales por parte de Alemania, Italia y Japón, lo cual en la práctica significó la muerte de los acuerdos de 1919. Inglaterra y Francia tomaron una actitud de apaciguamiento, siendo uno de los puntos culmines de esta posición la conferencia de </w:t>
      </w:r>
      <w:proofErr w:type="spellStart"/>
      <w:r w:rsidRPr="00BF1FF7">
        <w:rPr>
          <w:rFonts w:ascii="Cambria" w:hAnsi="Cambria"/>
          <w:sz w:val="20"/>
          <w:szCs w:val="20"/>
        </w:rPr>
        <w:t>Munich</w:t>
      </w:r>
      <w:proofErr w:type="spellEnd"/>
      <w:r w:rsidRPr="00BF1FF7">
        <w:rPr>
          <w:rFonts w:ascii="Cambria" w:hAnsi="Cambria"/>
          <w:sz w:val="20"/>
          <w:szCs w:val="20"/>
        </w:rPr>
        <w:t xml:space="preserve"> de 1938, en la cual se tomó la resolución de incorporar la región de los </w:t>
      </w:r>
      <w:proofErr w:type="spellStart"/>
      <w:r w:rsidRPr="00BF1FF7">
        <w:rPr>
          <w:rFonts w:ascii="Cambria" w:hAnsi="Cambria"/>
          <w:sz w:val="20"/>
          <w:szCs w:val="20"/>
        </w:rPr>
        <w:t>Sudetes</w:t>
      </w:r>
      <w:proofErr w:type="spellEnd"/>
      <w:r w:rsidRPr="00BF1FF7">
        <w:rPr>
          <w:rFonts w:ascii="Cambria" w:hAnsi="Cambria"/>
          <w:sz w:val="20"/>
          <w:szCs w:val="20"/>
        </w:rPr>
        <w:t xml:space="preserve"> por Alemania, en desmedro de Checoslovaquia.</w:t>
      </w:r>
    </w:p>
    <w:p w14:paraId="5B1B5A94" w14:textId="7EF9413B" w:rsid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La política de pactos: En la segunda mitad de la década del treinta, se concretaron una serie de alianzas en diferentes pactos. Destacaron el eje Roma Berlín (1936); el Pacto Antikomintern entre Alemania y Japón (1936); el Pacto de Acero entre Italia y Alemania (1939); el Pacto de No Agresión entre la URSS y Alemania (1939); y el Pacto tripartito, entre Japón, Italia y Alemania (1940).</w:t>
      </w:r>
    </w:p>
    <w:p w14:paraId="3B4868CC" w14:textId="77777777" w:rsidR="00E02E5D" w:rsidRPr="00E02E5D" w:rsidRDefault="00E02E5D" w:rsidP="00E02E5D">
      <w:pPr>
        <w:jc w:val="both"/>
        <w:rPr>
          <w:rFonts w:ascii="Cambria" w:hAnsi="Cambria"/>
          <w:sz w:val="20"/>
          <w:szCs w:val="20"/>
        </w:rPr>
      </w:pPr>
    </w:p>
    <w:p w14:paraId="3126ADA8" w14:textId="31667A75"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lastRenderedPageBreak/>
        <w:t>Causa directa: La invasión a Polonia en 1939. El 1 de septiembre de 1939 Alemania invadió Polonia, lo cual se transformó en el detonante de la Segunda Guerra Mundial. El caso de Polonia figuraba entre una de las cláusulas secretas del Pacto de No Agresión suscrito un mes antes por Alemania y la URSS, en el cual se acordó la ocupación y división del país en dos partes, una para los soviéticos y otra para alemanes. Ateniéndose a sus obligaciones como aliados de Polonia, Inglaterra y Francia declararon la guerra a Alemania, iniciando la Segunda Guerra Mundial.</w:t>
      </w:r>
    </w:p>
    <w:p w14:paraId="18B27E55" w14:textId="13EF4172" w:rsidR="00BF1FF7" w:rsidRPr="00BF1FF7" w:rsidRDefault="00BF1FF7" w:rsidP="00BF1FF7">
      <w:pPr>
        <w:ind w:left="360"/>
        <w:jc w:val="both"/>
        <w:rPr>
          <w:rFonts w:ascii="Cambria" w:hAnsi="Cambria"/>
          <w:sz w:val="20"/>
          <w:szCs w:val="20"/>
        </w:rPr>
      </w:pPr>
      <w:r w:rsidRPr="00BF1FF7">
        <w:rPr>
          <w:rFonts w:ascii="Cambria" w:hAnsi="Cambria"/>
          <w:sz w:val="20"/>
          <w:szCs w:val="20"/>
        </w:rPr>
        <w:t>Fases</w:t>
      </w:r>
    </w:p>
    <w:p w14:paraId="5CAE6FC7" w14:textId="4174B882"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Fase europea: En esta fase se constituyó la alianza militar entre Alemania, Italia y Japón, conocida como el Eje Berlín-Roma-Tokio. Esta fase estuvo caracterizada por el avance arrollador de Alemania hacia todos los frentes, conquistando Dinamarca, Noruega, Bélgica, Luxemburgo, Francia, Yugoslavia y Grecia, el bombardeo de Londres y combates en Egipto con Inglaterra. Una segunda característica de esta etapa fue el nacimiento de la resistencia civil en contra de los nazis en los territorios conquistados por alemanes. Esta fase culminó con la invasión de Alemania a la Unión Soviética, la que se concretó en la Operación Barbarroja en diciembre d e1941.</w:t>
      </w:r>
    </w:p>
    <w:p w14:paraId="35D73B9A" w14:textId="14E6D6D0"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 xml:space="preserve">Fase mundial: Esta fase se caracterizó por el ingreso a la guerra de Estados Unidos y Japón, y por el declive del poder del Eje ante la contraofensiva de los aliados. Estados Unidos ingresó a la guerra producto del bombardeo japonés a su base naval de Pearl </w:t>
      </w:r>
      <w:proofErr w:type="spellStart"/>
      <w:r w:rsidRPr="00BF1FF7">
        <w:rPr>
          <w:rFonts w:ascii="Cambria" w:hAnsi="Cambria"/>
          <w:sz w:val="20"/>
          <w:szCs w:val="20"/>
        </w:rPr>
        <w:t>Harbour</w:t>
      </w:r>
      <w:proofErr w:type="spellEnd"/>
      <w:r w:rsidRPr="00BF1FF7">
        <w:rPr>
          <w:rFonts w:ascii="Cambria" w:hAnsi="Cambria"/>
          <w:sz w:val="20"/>
          <w:szCs w:val="20"/>
        </w:rPr>
        <w:t xml:space="preserve"> (</w:t>
      </w:r>
      <w:proofErr w:type="spellStart"/>
      <w:r w:rsidRPr="00BF1FF7">
        <w:rPr>
          <w:rFonts w:ascii="Cambria" w:hAnsi="Cambria"/>
          <w:sz w:val="20"/>
          <w:szCs w:val="20"/>
        </w:rPr>
        <w:t>Hawai</w:t>
      </w:r>
      <w:proofErr w:type="spellEnd"/>
      <w:r w:rsidRPr="00BF1FF7">
        <w:rPr>
          <w:rFonts w:ascii="Cambria" w:hAnsi="Cambria"/>
          <w:sz w:val="20"/>
          <w:szCs w:val="20"/>
        </w:rPr>
        <w:t>) en diciembre de 1941. La entrada de Estados Unidos en la guerra coincidió con el establecimiento de la Alianza en contra de las potencias del Eje, formada por 27 naciones, entre las que se contaban Estados Unidos, la URSS, y Gran Bretaña. A partir de 1944 comenzó el declive militar de las potencias del Eje. En junio de 1944 Italia se rindió ante las fuerzas angloamericanas que habían invadido su territorio en 1943. En abril de 1945, lo hicieron los alemanes ante los rusos, después del bombardeo ruso a Berlín y el suicidio de Hitler. En septiembre, se rindieron los japoneses, tras el lanzamiento en agosto de las bombas atómicas de Hiroshima y Nagasaki.</w:t>
      </w:r>
    </w:p>
    <w:p w14:paraId="76CBA79A" w14:textId="44317D8F" w:rsidR="00BF1FF7" w:rsidRPr="00BF1FF7" w:rsidRDefault="00BF1FF7" w:rsidP="00BF1FF7">
      <w:pPr>
        <w:jc w:val="both"/>
        <w:rPr>
          <w:rFonts w:ascii="Cambria" w:hAnsi="Cambria"/>
          <w:sz w:val="20"/>
          <w:szCs w:val="20"/>
        </w:rPr>
      </w:pPr>
      <w:r w:rsidRPr="00BF1FF7">
        <w:rPr>
          <w:rFonts w:ascii="Cambria" w:hAnsi="Cambria"/>
          <w:sz w:val="20"/>
          <w:szCs w:val="20"/>
        </w:rPr>
        <w:t>Características de la guerra:</w:t>
      </w:r>
    </w:p>
    <w:p w14:paraId="39AAB50F" w14:textId="4C37EB76"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Economía de Guerra: La guerra reorientó la economía mundial ya que los países beligerantes dirigieron sus recursos a cubrir las crecientes necesidades militares. La industria siderúrgica pasó a tener un papel fundamental en detrimento de la industria de bienes de consumo; se privilegió la producción de hierro y acero para la fabricación de carros de combate, piezas de artillería, aviones y vehículos de todo tipo. También se fortaleció la industria química para la producción de explosivos. Por su parte, existió una centralización de la economía y un fuerte control de la producción, perjudicando a la iniciativa privada; las necesidades de mano de obra fueron cubiertas por mujeres, ancianos y niños mientras que las jornadas laborales se alargaron, fomentándose el trabajo nocturno y en días festivos.</w:t>
      </w:r>
    </w:p>
    <w:p w14:paraId="1850E4C9" w14:textId="7BA319D0" w:rsidR="00BF1FF7" w:rsidRPr="00BF1FF7" w:rsidRDefault="00BF1FF7" w:rsidP="00BF1FF7">
      <w:pPr>
        <w:pStyle w:val="Prrafodelista"/>
        <w:numPr>
          <w:ilvl w:val="0"/>
          <w:numId w:val="2"/>
        </w:numPr>
        <w:jc w:val="both"/>
        <w:rPr>
          <w:rFonts w:ascii="Cambria" w:hAnsi="Cambria"/>
          <w:sz w:val="20"/>
          <w:szCs w:val="20"/>
        </w:rPr>
      </w:pPr>
      <w:r w:rsidRPr="00BF1FF7">
        <w:rPr>
          <w:rFonts w:ascii="Cambria" w:hAnsi="Cambria"/>
          <w:sz w:val="20"/>
          <w:szCs w:val="20"/>
        </w:rPr>
        <w:t>Guerra Total: En esta guerra los contendientes no solamente pretendían la rendición del enemigo, sino que también su completa destrucción; en ella no solo participaron militares, sino también población civil. El conflicto desde un principio tuvo una fuerte connotación ideológica y moral, ya que se trataba de una confrontación entre potencias que representaban el bien y el mal; bajo esta idea se justificó el bombardeo sistemático a ciudades indefensas o la utilización de armas nucleares, fórmulas consideradas inmorales para muchos.</w:t>
      </w:r>
    </w:p>
    <w:p w14:paraId="3F9828CC" w14:textId="5515EF1B" w:rsidR="00BF1FF7" w:rsidRPr="00BF1FF7" w:rsidRDefault="00BF1FF7" w:rsidP="00BF1FF7">
      <w:pPr>
        <w:pStyle w:val="Prrafodelista"/>
        <w:numPr>
          <w:ilvl w:val="0"/>
          <w:numId w:val="2"/>
        </w:numPr>
        <w:jc w:val="both"/>
        <w:rPr>
          <w:rFonts w:ascii="Cambria" w:hAnsi="Cambria"/>
        </w:rPr>
      </w:pPr>
      <w:r>
        <w:rPr>
          <w:rFonts w:ascii="Cambria" w:hAnsi="Cambria"/>
        </w:rPr>
        <w:t>Armas nuevas: La S.G.M. revolucionó el arte del armamento de guerra, junto a las utilizadas en conflictos anteriores, surgieron otras armas, si en la P.G.M. las armas defensivas como la ametralladora, minas, o artillería fueron fundamentales para la Guerra de Trincheras, en la S.G.M. las armas defensivas tomaron gran importancia, tales como el carro de combate, y el avión, dotando de movilidad al conflicto. Otras armas que destacaron fueron los submarinos, acorazados, bombas (siendo las más destructivas las nucleares lanzadas en Japón), la utilización del radar o la máquina enigma utilizada por los alemanes para cifrar mensajes.</w:t>
      </w:r>
    </w:p>
    <w:p w14:paraId="655FD2B3" w14:textId="77777777" w:rsidR="008C400F" w:rsidRDefault="008C400F"/>
    <w:sectPr w:rsidR="008C400F" w:rsidSect="00E02E5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2D42" w14:textId="77777777" w:rsidR="000266E0" w:rsidRDefault="000266E0" w:rsidP="008C400F">
      <w:pPr>
        <w:spacing w:after="0" w:line="240" w:lineRule="auto"/>
      </w:pPr>
      <w:r>
        <w:separator/>
      </w:r>
    </w:p>
  </w:endnote>
  <w:endnote w:type="continuationSeparator" w:id="0">
    <w:p w14:paraId="05CEF216" w14:textId="77777777" w:rsidR="000266E0" w:rsidRDefault="000266E0" w:rsidP="008C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ED90" w14:textId="77777777" w:rsidR="000266E0" w:rsidRDefault="000266E0" w:rsidP="008C400F">
      <w:pPr>
        <w:spacing w:after="0" w:line="240" w:lineRule="auto"/>
      </w:pPr>
      <w:r>
        <w:separator/>
      </w:r>
    </w:p>
  </w:footnote>
  <w:footnote w:type="continuationSeparator" w:id="0">
    <w:p w14:paraId="086326E0" w14:textId="77777777" w:rsidR="000266E0" w:rsidRDefault="000266E0" w:rsidP="008C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3400" w14:textId="2F083947" w:rsidR="008C400F" w:rsidRDefault="008C400F">
    <w:pPr>
      <w:pStyle w:val="Encabezado"/>
    </w:pPr>
    <w:r w:rsidRPr="00732B2B">
      <w:rPr>
        <w:noProof/>
      </w:rPr>
      <mc:AlternateContent>
        <mc:Choice Requires="wps">
          <w:drawing>
            <wp:anchor distT="0" distB="0" distL="114300" distR="114300" simplePos="0" relativeHeight="251661312" behindDoc="0" locked="0" layoutInCell="1" allowOverlap="1" wp14:anchorId="698A2C56" wp14:editId="01E9FBCF">
              <wp:simplePos x="0" y="0"/>
              <wp:positionH relativeFrom="column">
                <wp:posOffset>4310743</wp:posOffset>
              </wp:positionH>
              <wp:positionV relativeFrom="paragraph">
                <wp:posOffset>-161409</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6017E1D8" w14:textId="77777777" w:rsidR="008C400F" w:rsidRPr="00732B2B" w:rsidRDefault="008C400F" w:rsidP="008C400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0F3FF383" w14:textId="77777777" w:rsidR="008C400F" w:rsidRPr="00732B2B" w:rsidRDefault="008C400F" w:rsidP="008C400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36DAC7A" w14:textId="77777777" w:rsidR="008C400F" w:rsidRPr="00732B2B" w:rsidRDefault="008C400F" w:rsidP="008C400F">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wps:txbx>
                    <wps:bodyPr wrap="square">
                      <a:spAutoFit/>
                    </wps:bodyPr>
                  </wps:wsp>
                </a:graphicData>
              </a:graphic>
            </wp:anchor>
          </w:drawing>
        </mc:Choice>
        <mc:Fallback>
          <w:pict>
            <v:shapetype w14:anchorId="698A2C56" id="_x0000_t202" coordsize="21600,21600" o:spt="202" path="m,l,21600r21600,l21600,xe">
              <v:stroke joinstyle="miter"/>
              <v:path gradientshapeok="t" o:connecttype="rect"/>
            </v:shapetype>
            <v:shape id="CuadroTexto 5" o:spid="_x0000_s1026" type="#_x0000_t202" style="position:absolute;margin-left:339.45pt;margin-top:-12.7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" filled="f" stroked="f">
              <v:textbox style="mso-fit-shape-to-text:t">
                <w:txbxContent>
                  <w:p w14:paraId="6017E1D8" w14:textId="77777777" w:rsidR="008C400F" w:rsidRPr="00732B2B" w:rsidRDefault="008C400F" w:rsidP="008C400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0F3FF383" w14:textId="77777777" w:rsidR="008C400F" w:rsidRPr="00732B2B" w:rsidRDefault="008C400F" w:rsidP="008C400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36DAC7A" w14:textId="77777777" w:rsidR="008C400F" w:rsidRPr="00732B2B" w:rsidRDefault="008C400F" w:rsidP="008C400F">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3785A565" wp14:editId="1D887C7E">
              <wp:simplePos x="0" y="0"/>
              <wp:positionH relativeFrom="column">
                <wp:posOffset>-358815</wp:posOffset>
              </wp:positionH>
              <wp:positionV relativeFrom="paragraph">
                <wp:posOffset>-290002</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6EB4" w14:textId="77777777" w:rsidR="008C400F" w:rsidRDefault="008C400F" w:rsidP="008C400F">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41D4AD48" w14:textId="77777777" w:rsidR="008C400F" w:rsidRDefault="008C400F" w:rsidP="008C400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17087E59" w14:textId="77777777" w:rsidR="008C400F" w:rsidRDefault="008C400F" w:rsidP="008C400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2DFB661F" wp14:editId="2089883C">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85A565" id="Cuadro de texto 2" o:spid="_x0000_s1027" type="#_x0000_t202" style="position:absolute;margin-left:-28.25pt;margin-top:-22.85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" filled="f" stroked="f">
              <v:textbox inset="0,0,0,0">
                <w:txbxContent>
                  <w:p w14:paraId="09E56EB4" w14:textId="77777777" w:rsidR="008C400F" w:rsidRDefault="008C400F" w:rsidP="008C400F">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41D4AD48" w14:textId="77777777" w:rsidR="008C400F" w:rsidRDefault="008C400F" w:rsidP="008C400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17087E59" w14:textId="77777777" w:rsidR="008C400F" w:rsidRDefault="008C400F" w:rsidP="008C400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2DFB661F" wp14:editId="2089883C">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7980"/>
    <w:multiLevelType w:val="hybridMultilevel"/>
    <w:tmpl w:val="DC8A3252"/>
    <w:lvl w:ilvl="0" w:tplc="9426016C">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BFD2024"/>
    <w:multiLevelType w:val="hybridMultilevel"/>
    <w:tmpl w:val="E7043AB0"/>
    <w:lvl w:ilvl="0" w:tplc="E67A8398">
      <w:start w:val="1"/>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08565971">
    <w:abstractNumId w:val="1"/>
  </w:num>
  <w:num w:numId="2" w16cid:durableId="189546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0F"/>
    <w:rsid w:val="000266E0"/>
    <w:rsid w:val="008C400F"/>
    <w:rsid w:val="00BF1FF7"/>
    <w:rsid w:val="00E02E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E13C"/>
  <w15:chartTrackingRefBased/>
  <w15:docId w15:val="{80B73070-2FA5-4260-B259-BDF52228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4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00F"/>
  </w:style>
  <w:style w:type="paragraph" w:styleId="Piedepgina">
    <w:name w:val="footer"/>
    <w:basedOn w:val="Normal"/>
    <w:link w:val="PiedepginaCar"/>
    <w:uiPriority w:val="99"/>
    <w:unhideWhenUsed/>
    <w:rsid w:val="008C4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00F"/>
  </w:style>
  <w:style w:type="table" w:styleId="Tablaconcuadrcula">
    <w:name w:val="Table Grid"/>
    <w:basedOn w:val="Tablanormal"/>
    <w:uiPriority w:val="39"/>
    <w:rsid w:val="008C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2022-05-18T21:35:00Z</cp:lastPrinted>
  <dcterms:created xsi:type="dcterms:W3CDTF">2022-05-18T21:39:00Z</dcterms:created>
  <dcterms:modified xsi:type="dcterms:W3CDTF">2022-05-18T21:39:00Z</dcterms:modified>
</cp:coreProperties>
</file>