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B08F" w14:textId="6E94B1BC" w:rsidR="00657403" w:rsidRPr="007D5745" w:rsidRDefault="00657403" w:rsidP="00657403">
      <w:pPr>
        <w:spacing w:after="0"/>
        <w:jc w:val="center"/>
        <w:rPr>
          <w:rFonts w:ascii="Cambria" w:hAnsi="Cambria"/>
          <w:b/>
          <w:bCs/>
          <w:u w:val="single"/>
        </w:rPr>
      </w:pPr>
      <w:r w:rsidRPr="007D5745">
        <w:rPr>
          <w:rFonts w:ascii="Cambria" w:hAnsi="Cambria"/>
          <w:b/>
          <w:bCs/>
          <w:u w:val="single"/>
        </w:rPr>
        <w:t xml:space="preserve">TALLER </w:t>
      </w:r>
      <w:r>
        <w:rPr>
          <w:rFonts w:ascii="Cambria" w:hAnsi="Cambria"/>
          <w:b/>
          <w:bCs/>
          <w:u w:val="single"/>
        </w:rPr>
        <w:t>25</w:t>
      </w:r>
    </w:p>
    <w:p w14:paraId="2BE614A6" w14:textId="0B192F6B" w:rsidR="00657403" w:rsidRPr="007D5745" w:rsidRDefault="00657403" w:rsidP="00657403">
      <w:pPr>
        <w:jc w:val="center"/>
        <w:rPr>
          <w:rFonts w:ascii="Cambria" w:hAnsi="Cambria"/>
          <w:b/>
          <w:bCs/>
          <w:u w:val="single"/>
        </w:rPr>
      </w:pPr>
      <w:r w:rsidRPr="007D5745">
        <w:rPr>
          <w:rFonts w:ascii="Cambria" w:hAnsi="Cambria"/>
          <w:b/>
          <w:bCs/>
          <w:u w:val="single"/>
        </w:rPr>
        <w:t>¿</w:t>
      </w:r>
      <w:r>
        <w:rPr>
          <w:rFonts w:ascii="Cambria" w:hAnsi="Cambria"/>
          <w:b/>
          <w:bCs/>
          <w:u w:val="single"/>
        </w:rPr>
        <w:t>CÓMO INFLUYERON LAS FORMAS DE TRABAJO EN LA FORMACIÓN DE LA SOCIEDAD COLONIAL?</w:t>
      </w:r>
    </w:p>
    <w:tbl>
      <w:tblPr>
        <w:tblStyle w:val="Tablaconcuadrcula"/>
        <w:tblW w:w="0" w:type="auto"/>
        <w:tblLook w:val="04A0" w:firstRow="1" w:lastRow="0" w:firstColumn="1" w:lastColumn="0" w:noHBand="0" w:noVBand="1"/>
      </w:tblPr>
      <w:tblGrid>
        <w:gridCol w:w="1696"/>
        <w:gridCol w:w="7132"/>
      </w:tblGrid>
      <w:tr w:rsidR="00657403" w:rsidRPr="001D3806" w14:paraId="75F13372" w14:textId="77777777" w:rsidTr="00FD6FF7">
        <w:tc>
          <w:tcPr>
            <w:tcW w:w="1696" w:type="dxa"/>
          </w:tcPr>
          <w:p w14:paraId="34B2EEB6" w14:textId="77777777" w:rsidR="00657403" w:rsidRPr="001D3806" w:rsidRDefault="00657403" w:rsidP="00FD6FF7">
            <w:pPr>
              <w:jc w:val="both"/>
              <w:rPr>
                <w:rFonts w:ascii="Cambria" w:hAnsi="Cambria"/>
              </w:rPr>
            </w:pPr>
            <w:r w:rsidRPr="001D3806">
              <w:rPr>
                <w:rFonts w:ascii="Cambria" w:hAnsi="Cambria"/>
              </w:rPr>
              <w:t>Nombre</w:t>
            </w:r>
          </w:p>
        </w:tc>
        <w:tc>
          <w:tcPr>
            <w:tcW w:w="7132" w:type="dxa"/>
          </w:tcPr>
          <w:p w14:paraId="4F7C7DC1" w14:textId="77777777" w:rsidR="00657403" w:rsidRPr="001D3806" w:rsidRDefault="00657403" w:rsidP="00FD6FF7">
            <w:pPr>
              <w:jc w:val="both"/>
              <w:rPr>
                <w:rFonts w:ascii="Cambria" w:hAnsi="Cambria"/>
              </w:rPr>
            </w:pPr>
          </w:p>
        </w:tc>
      </w:tr>
      <w:tr w:rsidR="00657403" w:rsidRPr="001D3806" w14:paraId="79965245" w14:textId="77777777" w:rsidTr="00FD6FF7">
        <w:tc>
          <w:tcPr>
            <w:tcW w:w="1696" w:type="dxa"/>
          </w:tcPr>
          <w:p w14:paraId="414F908E" w14:textId="77777777" w:rsidR="00657403" w:rsidRPr="001D3806" w:rsidRDefault="00657403" w:rsidP="00FD6FF7">
            <w:pPr>
              <w:jc w:val="both"/>
              <w:rPr>
                <w:rFonts w:ascii="Cambria" w:hAnsi="Cambria"/>
              </w:rPr>
            </w:pPr>
            <w:r w:rsidRPr="001D3806">
              <w:rPr>
                <w:rFonts w:ascii="Cambria" w:hAnsi="Cambria"/>
              </w:rPr>
              <w:t>Fecha</w:t>
            </w:r>
          </w:p>
        </w:tc>
        <w:tc>
          <w:tcPr>
            <w:tcW w:w="7132" w:type="dxa"/>
          </w:tcPr>
          <w:p w14:paraId="2469600B" w14:textId="163C2E68" w:rsidR="00657403" w:rsidRPr="001D3806" w:rsidRDefault="00657403" w:rsidP="00FD6FF7">
            <w:pPr>
              <w:jc w:val="both"/>
              <w:rPr>
                <w:rFonts w:ascii="Cambria" w:hAnsi="Cambria"/>
              </w:rPr>
            </w:pPr>
            <w:r>
              <w:rPr>
                <w:rFonts w:ascii="Cambria" w:hAnsi="Cambria"/>
              </w:rPr>
              <w:t>26-07-23</w:t>
            </w:r>
          </w:p>
        </w:tc>
      </w:tr>
    </w:tbl>
    <w:p w14:paraId="16DF1DD3" w14:textId="1FBEA717" w:rsidR="00657403" w:rsidRDefault="00657403" w:rsidP="00657403">
      <w:pPr>
        <w:spacing w:before="240"/>
        <w:jc w:val="both"/>
        <w:rPr>
          <w:rFonts w:ascii="Cambria" w:hAnsi="Cambria" w:cs="Times New Roman"/>
          <w:b/>
          <w:bCs/>
        </w:rPr>
      </w:pPr>
      <w:r w:rsidRPr="00CC28D4">
        <w:rPr>
          <w:rFonts w:ascii="Cambria" w:hAnsi="Cambria" w:cs="Times New Roman"/>
          <w:b/>
          <w:bCs/>
        </w:rPr>
        <w:t xml:space="preserve">Objetivo: </w:t>
      </w:r>
      <w:r>
        <w:rPr>
          <w:rFonts w:ascii="Cambria" w:hAnsi="Cambria" w:cs="Times New Roman"/>
          <w:b/>
          <w:bCs/>
        </w:rPr>
        <w:t>Explicar las formas de trabajo durante la colonia a través de fuentes para valorar la historia como forma de comprender el presente</w:t>
      </w:r>
    </w:p>
    <w:p w14:paraId="0887EBC4" w14:textId="77777777" w:rsidR="00657403" w:rsidRDefault="00657403" w:rsidP="00657403">
      <w:pPr>
        <w:spacing w:after="0"/>
        <w:jc w:val="both"/>
        <w:rPr>
          <w:rFonts w:ascii="Cambria" w:hAnsi="Cambria" w:cs="Times New Roman"/>
          <w:b/>
          <w:bCs/>
        </w:rPr>
      </w:pPr>
      <w:r>
        <w:rPr>
          <w:rFonts w:ascii="Cambria" w:hAnsi="Cambria" w:cs="Times New Roman"/>
          <w:b/>
          <w:bCs/>
        </w:rPr>
        <w:t>Instrucciones:</w:t>
      </w:r>
    </w:p>
    <w:p w14:paraId="616C75F3" w14:textId="77777777" w:rsidR="00657403" w:rsidRPr="00657403" w:rsidRDefault="00657403" w:rsidP="00657403">
      <w:pPr>
        <w:pStyle w:val="Prrafodelista"/>
        <w:numPr>
          <w:ilvl w:val="0"/>
          <w:numId w:val="1"/>
        </w:numPr>
        <w:spacing w:after="0"/>
        <w:jc w:val="both"/>
        <w:rPr>
          <w:rFonts w:ascii="Cambria" w:hAnsi="Cambria" w:cs="Times New Roman"/>
          <w:b/>
          <w:bCs/>
        </w:rPr>
      </w:pPr>
      <w:r>
        <w:rPr>
          <w:rFonts w:ascii="Cambria" w:hAnsi="Cambria" w:cs="Times New Roman"/>
        </w:rPr>
        <w:t>Lee las fuentes que se presentan y realiza las actividades:</w:t>
      </w:r>
    </w:p>
    <w:p w14:paraId="204FE157" w14:textId="2486DF95" w:rsidR="00657403" w:rsidRDefault="00657403" w:rsidP="00657403">
      <w:pPr>
        <w:pStyle w:val="Prrafodelista"/>
        <w:numPr>
          <w:ilvl w:val="0"/>
          <w:numId w:val="2"/>
        </w:numPr>
        <w:spacing w:after="0"/>
        <w:jc w:val="both"/>
        <w:rPr>
          <w:rFonts w:ascii="Cambria" w:hAnsi="Cambria" w:cs="Times New Roman"/>
        </w:rPr>
      </w:pPr>
      <w:r w:rsidRPr="00657403">
        <w:rPr>
          <w:rFonts w:ascii="Cambria" w:hAnsi="Cambria" w:cs="Times New Roman"/>
        </w:rPr>
        <w:t>¿Qué diferencia existe entre la encomienda y la mita?</w:t>
      </w:r>
    </w:p>
    <w:p w14:paraId="74DBF32D" w14:textId="33C5D99C" w:rsidR="00657403" w:rsidRDefault="00657403" w:rsidP="00657403">
      <w:pPr>
        <w:pStyle w:val="Prrafodelista"/>
        <w:numPr>
          <w:ilvl w:val="0"/>
          <w:numId w:val="2"/>
        </w:numPr>
        <w:spacing w:after="0"/>
        <w:jc w:val="both"/>
        <w:rPr>
          <w:rFonts w:ascii="Cambria" w:hAnsi="Cambria" w:cs="Times New Roman"/>
        </w:rPr>
      </w:pPr>
      <w:r w:rsidRPr="00657403">
        <w:rPr>
          <w:rFonts w:ascii="Cambria" w:hAnsi="Cambria" w:cs="Times New Roman"/>
        </w:rPr>
        <w:t>¿Qué denuncia hace Guamán Poma de Ayala?, ¿cómo se evidencia esa denuncia en el texto de Galeano?</w:t>
      </w:r>
    </w:p>
    <w:p w14:paraId="2F5BDF81" w14:textId="121D3880" w:rsidR="00657403" w:rsidRDefault="00657403" w:rsidP="00657403">
      <w:pPr>
        <w:pStyle w:val="Prrafodelista"/>
        <w:numPr>
          <w:ilvl w:val="0"/>
          <w:numId w:val="2"/>
        </w:numPr>
        <w:spacing w:after="0"/>
        <w:jc w:val="both"/>
        <w:rPr>
          <w:rFonts w:ascii="Cambria" w:hAnsi="Cambria" w:cs="Times New Roman"/>
        </w:rPr>
      </w:pPr>
      <w:r w:rsidRPr="00657403">
        <w:rPr>
          <w:rFonts w:ascii="Cambria" w:hAnsi="Cambria" w:cs="Times New Roman"/>
        </w:rPr>
        <w:t>¿</w:t>
      </w:r>
      <w:r>
        <w:rPr>
          <w:rFonts w:ascii="Cambria" w:hAnsi="Cambria" w:cs="Times New Roman"/>
        </w:rPr>
        <w:t>Q</w:t>
      </w:r>
      <w:r w:rsidRPr="00657403">
        <w:rPr>
          <w:rFonts w:ascii="Cambria" w:hAnsi="Cambria" w:cs="Times New Roman"/>
        </w:rPr>
        <w:t>ué importancia cree</w:t>
      </w:r>
      <w:r>
        <w:rPr>
          <w:rFonts w:ascii="Cambria" w:hAnsi="Cambria" w:cs="Times New Roman"/>
        </w:rPr>
        <w:t>s</w:t>
      </w:r>
      <w:r w:rsidRPr="00657403">
        <w:rPr>
          <w:rFonts w:ascii="Cambria" w:hAnsi="Cambria" w:cs="Times New Roman"/>
        </w:rPr>
        <w:t xml:space="preserve"> que tuvieron las distintas formas de trabajo para la economía española?</w:t>
      </w:r>
    </w:p>
    <w:p w14:paraId="6D4E4994" w14:textId="74072917" w:rsidR="00657403" w:rsidRDefault="00657403" w:rsidP="00657403">
      <w:pPr>
        <w:pStyle w:val="Prrafodelista"/>
        <w:numPr>
          <w:ilvl w:val="0"/>
          <w:numId w:val="2"/>
        </w:numPr>
        <w:spacing w:after="0"/>
        <w:jc w:val="both"/>
        <w:rPr>
          <w:rFonts w:ascii="Cambria" w:hAnsi="Cambria" w:cs="Times New Roman"/>
        </w:rPr>
      </w:pPr>
      <w:r w:rsidRPr="00657403">
        <w:rPr>
          <w:rFonts w:ascii="Cambria" w:hAnsi="Cambria" w:cs="Times New Roman"/>
        </w:rPr>
        <w:t>¿Por qué el repartimiento, a diferencia de la encomienda, se mantuvo en el tiempo?</w:t>
      </w:r>
    </w:p>
    <w:p w14:paraId="47449D29" w14:textId="384915EF" w:rsidR="00657403" w:rsidRDefault="00657403" w:rsidP="00657403">
      <w:pPr>
        <w:pStyle w:val="Prrafodelista"/>
        <w:numPr>
          <w:ilvl w:val="0"/>
          <w:numId w:val="2"/>
        </w:numPr>
        <w:spacing w:after="0"/>
        <w:jc w:val="both"/>
        <w:rPr>
          <w:rFonts w:ascii="Cambria" w:hAnsi="Cambria" w:cs="Times New Roman"/>
        </w:rPr>
      </w:pPr>
      <w:r w:rsidRPr="00657403">
        <w:rPr>
          <w:rFonts w:ascii="Cambria" w:hAnsi="Cambria" w:cs="Times New Roman"/>
        </w:rPr>
        <w:t>¿Cómo cree</w:t>
      </w:r>
      <w:r>
        <w:rPr>
          <w:rFonts w:ascii="Cambria" w:hAnsi="Cambria" w:cs="Times New Roman"/>
        </w:rPr>
        <w:t>s</w:t>
      </w:r>
      <w:r w:rsidRPr="00657403">
        <w:rPr>
          <w:rFonts w:ascii="Cambria" w:hAnsi="Cambria" w:cs="Times New Roman"/>
        </w:rPr>
        <w:t xml:space="preserve"> que influyeron las formas de trabajo en la formación de la sociedad colonial? Argument</w:t>
      </w:r>
      <w:r>
        <w:rPr>
          <w:rFonts w:ascii="Cambria" w:hAnsi="Cambria" w:cs="Times New Roman"/>
        </w:rPr>
        <w:t>a</w:t>
      </w:r>
      <w:r w:rsidRPr="00657403">
        <w:rPr>
          <w:rFonts w:ascii="Cambria" w:hAnsi="Cambria" w:cs="Times New Roman"/>
        </w:rPr>
        <w:t>.</w:t>
      </w:r>
    </w:p>
    <w:p w14:paraId="0294313B" w14:textId="2A7DE312" w:rsidR="00657403" w:rsidRPr="00657403" w:rsidRDefault="00657403" w:rsidP="00657403">
      <w:pPr>
        <w:spacing w:after="0"/>
        <w:jc w:val="both"/>
        <w:rPr>
          <w:rFonts w:ascii="Cambria" w:hAnsi="Cambria" w:cs="Times New Roman"/>
          <w:sz w:val="20"/>
          <w:szCs w:val="20"/>
        </w:rPr>
      </w:pPr>
      <w:r w:rsidRPr="00657403">
        <w:rPr>
          <w:rFonts w:ascii="Cambria" w:hAnsi="Cambria" w:cs="Times New Roman"/>
          <w:sz w:val="20"/>
          <w:szCs w:val="20"/>
        </w:rPr>
        <w:t>Fuente 1:</w:t>
      </w:r>
    </w:p>
    <w:p w14:paraId="6FDB8BBA" w14:textId="77777777" w:rsidR="00657403" w:rsidRPr="00657403" w:rsidRDefault="00657403" w:rsidP="00657403">
      <w:pPr>
        <w:spacing w:after="0"/>
        <w:jc w:val="both"/>
        <w:rPr>
          <w:rFonts w:ascii="Cambria" w:hAnsi="Cambria" w:cs="Times New Roman"/>
          <w:sz w:val="20"/>
          <w:szCs w:val="20"/>
        </w:rPr>
      </w:pPr>
      <w:r w:rsidRPr="00657403">
        <w:rPr>
          <w:rFonts w:ascii="Cambria" w:hAnsi="Cambria" w:cs="Times New Roman"/>
          <w:sz w:val="20"/>
          <w:szCs w:val="20"/>
        </w:rPr>
        <w:t xml:space="preserve">“Los dichos comenderos andan y </w:t>
      </w:r>
      <w:proofErr w:type="spellStart"/>
      <w:r w:rsidRPr="00657403">
        <w:rPr>
          <w:rFonts w:ascii="Cambria" w:hAnsi="Cambria" w:cs="Times New Roman"/>
          <w:sz w:val="20"/>
          <w:szCs w:val="20"/>
        </w:rPr>
        <w:t>trunfan</w:t>
      </w:r>
      <w:proofErr w:type="spellEnd"/>
      <w:r w:rsidRPr="00657403">
        <w:rPr>
          <w:rFonts w:ascii="Cambria" w:hAnsi="Cambria" w:cs="Times New Roman"/>
          <w:sz w:val="20"/>
          <w:szCs w:val="20"/>
        </w:rPr>
        <w:t xml:space="preserve"> y juegan y tienen mucha fiesta y banquete y </w:t>
      </w:r>
      <w:proofErr w:type="spellStart"/>
      <w:r w:rsidRPr="00657403">
        <w:rPr>
          <w:rFonts w:ascii="Cambria" w:hAnsi="Cambria" w:cs="Times New Roman"/>
          <w:sz w:val="20"/>
          <w:szCs w:val="20"/>
        </w:rPr>
        <w:t>bisten</w:t>
      </w:r>
      <w:proofErr w:type="spellEnd"/>
      <w:r w:rsidRPr="00657403">
        <w:rPr>
          <w:rFonts w:ascii="Cambria" w:hAnsi="Cambria" w:cs="Times New Roman"/>
          <w:sz w:val="20"/>
          <w:szCs w:val="20"/>
        </w:rPr>
        <w:t xml:space="preserve"> de seda y gastan muy largamente como no le cuesta su </w:t>
      </w:r>
      <w:proofErr w:type="spellStart"/>
      <w:r w:rsidRPr="00657403">
        <w:rPr>
          <w:rFonts w:ascii="Cambria" w:hAnsi="Cambria" w:cs="Times New Roman"/>
          <w:sz w:val="20"/>
          <w:szCs w:val="20"/>
        </w:rPr>
        <w:t>trauajo</w:t>
      </w:r>
      <w:proofErr w:type="spellEnd"/>
      <w:r w:rsidRPr="00657403">
        <w:rPr>
          <w:rFonts w:ascii="Cambria" w:hAnsi="Cambria" w:cs="Times New Roman"/>
          <w:sz w:val="20"/>
          <w:szCs w:val="20"/>
        </w:rPr>
        <w:t xml:space="preserve"> ni sudor, </w:t>
      </w:r>
      <w:proofErr w:type="spellStart"/>
      <w:r w:rsidRPr="00657403">
        <w:rPr>
          <w:rFonts w:ascii="Cambria" w:hAnsi="Cambria" w:cs="Times New Roman"/>
          <w:sz w:val="20"/>
          <w:szCs w:val="20"/>
        </w:rPr>
        <w:t>cino</w:t>
      </w:r>
      <w:proofErr w:type="spellEnd"/>
      <w:r w:rsidRPr="00657403">
        <w:rPr>
          <w:rFonts w:ascii="Cambria" w:hAnsi="Cambria" w:cs="Times New Roman"/>
          <w:sz w:val="20"/>
          <w:szCs w:val="20"/>
        </w:rPr>
        <w:t xml:space="preserve"> pide a los pobres </w:t>
      </w:r>
      <w:proofErr w:type="spellStart"/>
      <w:r w:rsidRPr="00657403">
        <w:rPr>
          <w:rFonts w:ascii="Cambria" w:hAnsi="Cambria" w:cs="Times New Roman"/>
          <w:sz w:val="20"/>
          <w:szCs w:val="20"/>
        </w:rPr>
        <w:t>yndios</w:t>
      </w:r>
      <w:proofErr w:type="spellEnd"/>
      <w:r w:rsidRPr="00657403">
        <w:rPr>
          <w:rFonts w:ascii="Cambria" w:hAnsi="Cambria" w:cs="Times New Roman"/>
          <w:sz w:val="20"/>
          <w:szCs w:val="20"/>
        </w:rPr>
        <w:t xml:space="preserve">. Y no le duele como es </w:t>
      </w:r>
      <w:proofErr w:type="spellStart"/>
      <w:r w:rsidRPr="00657403">
        <w:rPr>
          <w:rFonts w:ascii="Cambria" w:hAnsi="Cambria" w:cs="Times New Roman"/>
          <w:sz w:val="20"/>
          <w:szCs w:val="20"/>
        </w:rPr>
        <w:t>trauajo</w:t>
      </w:r>
      <w:proofErr w:type="spellEnd"/>
      <w:r w:rsidRPr="00657403">
        <w:rPr>
          <w:rFonts w:ascii="Cambria" w:hAnsi="Cambria" w:cs="Times New Roman"/>
          <w:sz w:val="20"/>
          <w:szCs w:val="20"/>
        </w:rPr>
        <w:t xml:space="preserve"> de los pobres </w:t>
      </w:r>
      <w:proofErr w:type="spellStart"/>
      <w:r w:rsidRPr="00657403">
        <w:rPr>
          <w:rFonts w:ascii="Cambria" w:hAnsi="Cambria" w:cs="Times New Roman"/>
          <w:sz w:val="20"/>
          <w:szCs w:val="20"/>
        </w:rPr>
        <w:t>yndios</w:t>
      </w:r>
      <w:proofErr w:type="spellEnd"/>
      <w:r w:rsidRPr="00657403">
        <w:rPr>
          <w:rFonts w:ascii="Cambria" w:hAnsi="Cambria" w:cs="Times New Roman"/>
          <w:sz w:val="20"/>
          <w:szCs w:val="20"/>
        </w:rPr>
        <w:t xml:space="preserve"> ni </w:t>
      </w:r>
      <w:proofErr w:type="spellStart"/>
      <w:r w:rsidRPr="00657403">
        <w:rPr>
          <w:rFonts w:ascii="Cambria" w:hAnsi="Cambria" w:cs="Times New Roman"/>
          <w:sz w:val="20"/>
          <w:szCs w:val="20"/>
        </w:rPr>
        <w:t>rruega</w:t>
      </w:r>
      <w:proofErr w:type="spellEnd"/>
      <w:r w:rsidRPr="00657403">
        <w:rPr>
          <w:rFonts w:ascii="Cambria" w:hAnsi="Cambria" w:cs="Times New Roman"/>
          <w:sz w:val="20"/>
          <w:szCs w:val="20"/>
        </w:rPr>
        <w:t xml:space="preserve"> a Dios por ellos ni de su salud del </w:t>
      </w:r>
      <w:proofErr w:type="spellStart"/>
      <w:r w:rsidRPr="00657403">
        <w:rPr>
          <w:rFonts w:ascii="Cambria" w:hAnsi="Cambria" w:cs="Times New Roman"/>
          <w:sz w:val="20"/>
          <w:szCs w:val="20"/>
        </w:rPr>
        <w:t>rrey</w:t>
      </w:r>
      <w:proofErr w:type="spellEnd"/>
      <w:r w:rsidRPr="00657403">
        <w:rPr>
          <w:rFonts w:ascii="Cambria" w:hAnsi="Cambria" w:cs="Times New Roman"/>
          <w:sz w:val="20"/>
          <w:szCs w:val="20"/>
        </w:rPr>
        <w:t xml:space="preserve"> nuestro señor y del papa ni se acuerda de los </w:t>
      </w:r>
      <w:proofErr w:type="spellStart"/>
      <w:r w:rsidRPr="00657403">
        <w:rPr>
          <w:rFonts w:ascii="Cambria" w:hAnsi="Cambria" w:cs="Times New Roman"/>
          <w:sz w:val="20"/>
          <w:szCs w:val="20"/>
        </w:rPr>
        <w:t>trauajos</w:t>
      </w:r>
      <w:proofErr w:type="spellEnd"/>
      <w:r w:rsidRPr="00657403">
        <w:rPr>
          <w:rFonts w:ascii="Cambria" w:hAnsi="Cambria" w:cs="Times New Roman"/>
          <w:sz w:val="20"/>
          <w:szCs w:val="20"/>
        </w:rPr>
        <w:t xml:space="preserve"> de los pobres </w:t>
      </w:r>
      <w:proofErr w:type="spellStart"/>
      <w:r w:rsidRPr="00657403">
        <w:rPr>
          <w:rFonts w:ascii="Cambria" w:hAnsi="Cambria" w:cs="Times New Roman"/>
          <w:sz w:val="20"/>
          <w:szCs w:val="20"/>
        </w:rPr>
        <w:t>yndios</w:t>
      </w:r>
      <w:proofErr w:type="spellEnd"/>
      <w:r w:rsidRPr="00657403">
        <w:rPr>
          <w:rFonts w:ascii="Cambria" w:hAnsi="Cambria" w:cs="Times New Roman"/>
          <w:sz w:val="20"/>
          <w:szCs w:val="20"/>
        </w:rPr>
        <w:t xml:space="preserve"> </w:t>
      </w:r>
      <w:proofErr w:type="spellStart"/>
      <w:r w:rsidRPr="00657403">
        <w:rPr>
          <w:rFonts w:ascii="Cambria" w:hAnsi="Cambria" w:cs="Times New Roman"/>
          <w:sz w:val="20"/>
          <w:szCs w:val="20"/>
        </w:rPr>
        <w:t>destos</w:t>
      </w:r>
      <w:proofErr w:type="spellEnd"/>
      <w:r w:rsidRPr="00657403">
        <w:rPr>
          <w:rFonts w:ascii="Cambria" w:hAnsi="Cambria" w:cs="Times New Roman"/>
          <w:sz w:val="20"/>
          <w:szCs w:val="20"/>
        </w:rPr>
        <w:t xml:space="preserve"> </w:t>
      </w:r>
      <w:proofErr w:type="spellStart"/>
      <w:r w:rsidRPr="00657403">
        <w:rPr>
          <w:rFonts w:ascii="Cambria" w:hAnsi="Cambria" w:cs="Times New Roman"/>
          <w:sz w:val="20"/>
          <w:szCs w:val="20"/>
        </w:rPr>
        <w:t>rreynos</w:t>
      </w:r>
      <w:proofErr w:type="spellEnd"/>
      <w:r w:rsidRPr="00657403">
        <w:rPr>
          <w:rFonts w:ascii="Cambria" w:hAnsi="Cambria" w:cs="Times New Roman"/>
          <w:sz w:val="20"/>
          <w:szCs w:val="20"/>
        </w:rPr>
        <w:t xml:space="preserve">. (…) Que los dichos encomenderos piden </w:t>
      </w:r>
      <w:proofErr w:type="spellStart"/>
      <w:r w:rsidRPr="00657403">
        <w:rPr>
          <w:rFonts w:ascii="Cambria" w:hAnsi="Cambria" w:cs="Times New Roman"/>
          <w:sz w:val="20"/>
          <w:szCs w:val="20"/>
        </w:rPr>
        <w:t>chinaconas</w:t>
      </w:r>
      <w:proofErr w:type="spellEnd"/>
      <w:r w:rsidRPr="00657403">
        <w:rPr>
          <w:rFonts w:ascii="Cambria" w:hAnsi="Cambria" w:cs="Times New Roman"/>
          <w:sz w:val="20"/>
          <w:szCs w:val="20"/>
        </w:rPr>
        <w:t xml:space="preserve"> [criadas] y muchachos yanaconas y labradores y </w:t>
      </w:r>
      <w:proofErr w:type="spellStart"/>
      <w:r w:rsidRPr="00657403">
        <w:rPr>
          <w:rFonts w:ascii="Cambria" w:hAnsi="Cambria" w:cs="Times New Roman"/>
          <w:sz w:val="20"/>
          <w:szCs w:val="20"/>
        </w:rPr>
        <w:t>caballerisos</w:t>
      </w:r>
      <w:proofErr w:type="spellEnd"/>
      <w:r w:rsidRPr="00657403">
        <w:rPr>
          <w:rFonts w:ascii="Cambria" w:hAnsi="Cambria" w:cs="Times New Roman"/>
          <w:sz w:val="20"/>
          <w:szCs w:val="20"/>
        </w:rPr>
        <w:t xml:space="preserve"> y pastores de ganados y </w:t>
      </w:r>
      <w:proofErr w:type="spellStart"/>
      <w:r w:rsidRPr="00657403">
        <w:rPr>
          <w:rFonts w:ascii="Cambria" w:hAnsi="Cambria" w:cs="Times New Roman"/>
          <w:sz w:val="20"/>
          <w:szCs w:val="20"/>
        </w:rPr>
        <w:t>ortelanos</w:t>
      </w:r>
      <w:proofErr w:type="spellEnd"/>
      <w:r w:rsidRPr="00657403">
        <w:rPr>
          <w:rFonts w:ascii="Cambria" w:hAnsi="Cambria" w:cs="Times New Roman"/>
          <w:sz w:val="20"/>
          <w:szCs w:val="20"/>
        </w:rPr>
        <w:t xml:space="preserve"> y para sus trapiches y no se las paga. Y con tanto </w:t>
      </w:r>
      <w:proofErr w:type="spellStart"/>
      <w:r w:rsidRPr="00657403">
        <w:rPr>
          <w:rFonts w:ascii="Cambria" w:hAnsi="Cambria" w:cs="Times New Roman"/>
          <w:sz w:val="20"/>
          <w:szCs w:val="20"/>
        </w:rPr>
        <w:t>trauajo</w:t>
      </w:r>
      <w:proofErr w:type="spellEnd"/>
      <w:r w:rsidRPr="00657403">
        <w:rPr>
          <w:rFonts w:ascii="Cambria" w:hAnsi="Cambria" w:cs="Times New Roman"/>
          <w:sz w:val="20"/>
          <w:szCs w:val="20"/>
        </w:rPr>
        <w:t xml:space="preserve"> y ocupación se despuebla sus pueblos de los dichos </w:t>
      </w:r>
      <w:proofErr w:type="spellStart"/>
      <w:r w:rsidRPr="00657403">
        <w:rPr>
          <w:rFonts w:ascii="Cambria" w:hAnsi="Cambria" w:cs="Times New Roman"/>
          <w:sz w:val="20"/>
          <w:szCs w:val="20"/>
        </w:rPr>
        <w:t>yndios</w:t>
      </w:r>
      <w:proofErr w:type="spellEnd"/>
      <w:r w:rsidRPr="00657403">
        <w:rPr>
          <w:rFonts w:ascii="Cambria" w:hAnsi="Cambria" w:cs="Times New Roman"/>
          <w:sz w:val="20"/>
          <w:szCs w:val="20"/>
        </w:rPr>
        <w:t xml:space="preserve"> y no ay </w:t>
      </w:r>
      <w:proofErr w:type="spellStart"/>
      <w:r w:rsidRPr="00657403">
        <w:rPr>
          <w:rFonts w:ascii="Cambria" w:hAnsi="Cambria" w:cs="Times New Roman"/>
          <w:sz w:val="20"/>
          <w:szCs w:val="20"/>
        </w:rPr>
        <w:t>rremedio</w:t>
      </w:r>
      <w:proofErr w:type="spellEnd"/>
      <w:r w:rsidRPr="00657403">
        <w:rPr>
          <w:rFonts w:ascii="Cambria" w:hAnsi="Cambria" w:cs="Times New Roman"/>
          <w:sz w:val="20"/>
          <w:szCs w:val="20"/>
        </w:rPr>
        <w:t xml:space="preserve">. Como sea contra encomendero que ellos propios </w:t>
      </w:r>
      <w:proofErr w:type="spellStart"/>
      <w:r w:rsidRPr="00657403">
        <w:rPr>
          <w:rFonts w:ascii="Cambria" w:hAnsi="Cambria" w:cs="Times New Roman"/>
          <w:sz w:val="20"/>
          <w:szCs w:val="20"/>
        </w:rPr>
        <w:t>dizen</w:t>
      </w:r>
      <w:proofErr w:type="spellEnd"/>
      <w:r w:rsidRPr="00657403">
        <w:rPr>
          <w:rFonts w:ascii="Cambria" w:hAnsi="Cambria" w:cs="Times New Roman"/>
          <w:sz w:val="20"/>
          <w:szCs w:val="20"/>
        </w:rPr>
        <w:t xml:space="preserve"> y alaban que el </w:t>
      </w:r>
      <w:proofErr w:type="spellStart"/>
      <w:r w:rsidRPr="00657403">
        <w:rPr>
          <w:rFonts w:ascii="Cambria" w:hAnsi="Cambria" w:cs="Times New Roman"/>
          <w:sz w:val="20"/>
          <w:szCs w:val="20"/>
        </w:rPr>
        <w:t>rrey</w:t>
      </w:r>
      <w:proofErr w:type="spellEnd"/>
      <w:r w:rsidRPr="00657403">
        <w:rPr>
          <w:rFonts w:ascii="Cambria" w:hAnsi="Cambria" w:cs="Times New Roman"/>
          <w:sz w:val="20"/>
          <w:szCs w:val="20"/>
        </w:rPr>
        <w:t xml:space="preserve"> no se las puede quitar. Y </w:t>
      </w:r>
      <w:proofErr w:type="spellStart"/>
      <w:r w:rsidRPr="00657403">
        <w:rPr>
          <w:rFonts w:ascii="Cambria" w:hAnsi="Cambria" w:cs="Times New Roman"/>
          <w:sz w:val="20"/>
          <w:szCs w:val="20"/>
        </w:rPr>
        <w:t>ancí</w:t>
      </w:r>
      <w:proofErr w:type="spellEnd"/>
      <w:r w:rsidRPr="00657403">
        <w:rPr>
          <w:rFonts w:ascii="Cambria" w:hAnsi="Cambria" w:cs="Times New Roman"/>
          <w:sz w:val="20"/>
          <w:szCs w:val="20"/>
        </w:rPr>
        <w:t xml:space="preserve"> maltrata a los indios”. </w:t>
      </w:r>
    </w:p>
    <w:p w14:paraId="693C6ECE" w14:textId="706DC0C0" w:rsidR="00657403" w:rsidRPr="00657403" w:rsidRDefault="00657403" w:rsidP="00657403">
      <w:pPr>
        <w:spacing w:after="0"/>
        <w:jc w:val="right"/>
        <w:rPr>
          <w:rFonts w:ascii="Cambria" w:hAnsi="Cambria"/>
          <w:sz w:val="20"/>
          <w:szCs w:val="20"/>
        </w:rPr>
      </w:pPr>
      <w:r w:rsidRPr="00657403">
        <w:rPr>
          <w:rFonts w:ascii="Cambria" w:hAnsi="Cambria" w:cs="Times New Roman"/>
          <w:sz w:val="20"/>
          <w:szCs w:val="20"/>
        </w:rPr>
        <w:t xml:space="preserve">Guamán Poma de Ayala, F. (1615). </w:t>
      </w:r>
      <w:r w:rsidRPr="00657403">
        <w:rPr>
          <w:rFonts w:ascii="Cambria" w:hAnsi="Cambria"/>
          <w:i/>
          <w:iCs/>
          <w:sz w:val="20"/>
          <w:szCs w:val="20"/>
        </w:rPr>
        <w:t>Nueva crónica y buen gobierno</w:t>
      </w:r>
      <w:r w:rsidRPr="00657403">
        <w:rPr>
          <w:rFonts w:ascii="Cambria" w:hAnsi="Cambria"/>
          <w:sz w:val="20"/>
          <w:szCs w:val="20"/>
        </w:rPr>
        <w:t>.</w:t>
      </w:r>
    </w:p>
    <w:p w14:paraId="37E9C603" w14:textId="3CA29382" w:rsidR="00657403" w:rsidRPr="00657403" w:rsidRDefault="00657403" w:rsidP="00657403">
      <w:pPr>
        <w:spacing w:after="0"/>
        <w:jc w:val="both"/>
        <w:rPr>
          <w:rFonts w:ascii="Cambria" w:hAnsi="Cambria"/>
          <w:sz w:val="20"/>
          <w:szCs w:val="20"/>
        </w:rPr>
      </w:pPr>
      <w:r w:rsidRPr="00657403">
        <w:rPr>
          <w:rFonts w:ascii="Cambria" w:hAnsi="Cambria"/>
          <w:sz w:val="20"/>
          <w:szCs w:val="20"/>
        </w:rPr>
        <w:t>Fuente 2:</w:t>
      </w:r>
    </w:p>
    <w:p w14:paraId="79301532" w14:textId="77777777" w:rsidR="00657403" w:rsidRPr="00657403" w:rsidRDefault="00657403" w:rsidP="00657403">
      <w:pPr>
        <w:spacing w:after="0"/>
        <w:jc w:val="both"/>
        <w:rPr>
          <w:rFonts w:ascii="Cambria" w:hAnsi="Cambria" w:cs="Times New Roman"/>
          <w:sz w:val="20"/>
          <w:szCs w:val="20"/>
        </w:rPr>
      </w:pPr>
      <w:r w:rsidRPr="00657403">
        <w:rPr>
          <w:rFonts w:ascii="Cambria" w:hAnsi="Cambria" w:cs="Times New Roman"/>
          <w:sz w:val="20"/>
          <w:szCs w:val="20"/>
        </w:rPr>
        <w:t xml:space="preserve">“Bajo la responsabilidad de sus corregidores, los caciques de un cierto número de comunidades debían enviar a Potosí, cada año y por el período de un año, una parte (variable según las regiones y la época, en promedio 15%) de </w:t>
      </w:r>
      <w:proofErr w:type="spellStart"/>
      <w:r w:rsidRPr="00657403">
        <w:rPr>
          <w:rFonts w:ascii="Cambria" w:hAnsi="Cambria" w:cs="Times New Roman"/>
          <w:sz w:val="20"/>
          <w:szCs w:val="20"/>
        </w:rPr>
        <w:t>hatunruna</w:t>
      </w:r>
      <w:proofErr w:type="spellEnd"/>
      <w:r w:rsidRPr="00657403">
        <w:rPr>
          <w:rFonts w:ascii="Cambria" w:hAnsi="Cambria" w:cs="Times New Roman"/>
          <w:sz w:val="20"/>
          <w:szCs w:val="20"/>
        </w:rPr>
        <w:t xml:space="preserve"> (tributarios de entre 18 y 50 años) de sus comunidades. Las comunidades afectadas por la mita de Potosí se repartían sobre el inmenso territorio que encierran los Andes centrales, desde la región de Cuzco al norte, hasta Tarija al sur de Potosí. La mita gruesa –el número total de mitayos– (…) afectó cada vez más un mayor número de comunidades entre 1573 y 1578”. </w:t>
      </w:r>
    </w:p>
    <w:p w14:paraId="0E6E0E52" w14:textId="4B6E62E5" w:rsidR="00657403" w:rsidRPr="00657403" w:rsidRDefault="00657403" w:rsidP="00657403">
      <w:pPr>
        <w:spacing w:after="0"/>
        <w:jc w:val="right"/>
        <w:rPr>
          <w:rFonts w:ascii="Cambria" w:hAnsi="Cambria" w:cs="Times New Roman"/>
          <w:i/>
          <w:iCs/>
          <w:sz w:val="20"/>
          <w:szCs w:val="20"/>
        </w:rPr>
      </w:pPr>
      <w:r w:rsidRPr="00657403">
        <w:rPr>
          <w:rFonts w:ascii="Cambria" w:hAnsi="Cambria" w:cs="Times New Roman"/>
          <w:sz w:val="20"/>
          <w:szCs w:val="20"/>
        </w:rPr>
        <w:t xml:space="preserve">Salazar-Soler, C. (2002). </w:t>
      </w:r>
      <w:r w:rsidRPr="00657403">
        <w:rPr>
          <w:rFonts w:ascii="Cambria" w:hAnsi="Cambria" w:cs="Times New Roman"/>
          <w:i/>
          <w:iCs/>
          <w:sz w:val="20"/>
          <w:szCs w:val="20"/>
        </w:rPr>
        <w:t>La Villa Imperial de Potosí, cuna del mestizaje (siglos XVI y XVII).</w:t>
      </w:r>
    </w:p>
    <w:p w14:paraId="52E226B4" w14:textId="77F34049" w:rsidR="00657403" w:rsidRPr="00657403" w:rsidRDefault="00657403" w:rsidP="00657403">
      <w:pPr>
        <w:spacing w:after="0"/>
        <w:jc w:val="both"/>
        <w:rPr>
          <w:rFonts w:ascii="Cambria" w:hAnsi="Cambria" w:cs="Times New Roman"/>
          <w:sz w:val="20"/>
          <w:szCs w:val="20"/>
        </w:rPr>
      </w:pPr>
      <w:r w:rsidRPr="00657403">
        <w:rPr>
          <w:rFonts w:ascii="Cambria" w:hAnsi="Cambria" w:cs="Times New Roman"/>
          <w:sz w:val="20"/>
          <w:szCs w:val="20"/>
        </w:rPr>
        <w:t>Fuente 3:</w:t>
      </w:r>
    </w:p>
    <w:p w14:paraId="75C2121D" w14:textId="77777777" w:rsidR="00657403" w:rsidRPr="00657403" w:rsidRDefault="00657403" w:rsidP="00657403">
      <w:pPr>
        <w:spacing w:after="0"/>
        <w:jc w:val="both"/>
        <w:rPr>
          <w:rFonts w:ascii="Cambria" w:hAnsi="Cambria" w:cs="Times New Roman"/>
          <w:sz w:val="20"/>
          <w:szCs w:val="20"/>
        </w:rPr>
      </w:pPr>
      <w:r w:rsidRPr="00657403">
        <w:rPr>
          <w:rFonts w:ascii="Cambria" w:hAnsi="Cambria" w:cs="Times New Roman"/>
          <w:sz w:val="20"/>
          <w:szCs w:val="20"/>
        </w:rPr>
        <w:t xml:space="preserve">“Dicen que hasta las herraduras de los caballos eran de plata en la época del auge de la ciudad de Potosí. De plata eran los altares de las iglesias y las alas de los querubines en las procesiones (…). En Potosí la plata levantó templos y palacios, monasterios y garitos, ofreció motivo a la tragedia y a la fiesta, derramó la sangre y el vino, encendió la codicia y desató el despilfarro y la aventura”. </w:t>
      </w:r>
    </w:p>
    <w:p w14:paraId="00EF469E" w14:textId="313DCF7B" w:rsidR="00657403" w:rsidRPr="00657403" w:rsidRDefault="00657403" w:rsidP="00657403">
      <w:pPr>
        <w:spacing w:after="0"/>
        <w:jc w:val="right"/>
        <w:rPr>
          <w:rFonts w:ascii="Cambria" w:hAnsi="Cambria" w:cs="Times New Roman"/>
          <w:sz w:val="20"/>
          <w:szCs w:val="20"/>
        </w:rPr>
      </w:pPr>
      <w:r w:rsidRPr="00657403">
        <w:rPr>
          <w:rFonts w:ascii="Cambria" w:hAnsi="Cambria" w:cs="Times New Roman"/>
          <w:sz w:val="20"/>
          <w:szCs w:val="20"/>
        </w:rPr>
        <w:t xml:space="preserve">Galeano, E. (2004). </w:t>
      </w:r>
      <w:r w:rsidRPr="00657403">
        <w:rPr>
          <w:rFonts w:ascii="Cambria" w:hAnsi="Cambria" w:cs="Times New Roman"/>
          <w:i/>
          <w:iCs/>
          <w:sz w:val="20"/>
          <w:szCs w:val="20"/>
        </w:rPr>
        <w:t>Las venas abiertas de América Latina</w:t>
      </w:r>
      <w:r w:rsidRPr="00657403">
        <w:rPr>
          <w:rFonts w:ascii="Cambria" w:hAnsi="Cambria" w:cs="Times New Roman"/>
          <w:sz w:val="20"/>
          <w:szCs w:val="20"/>
        </w:rPr>
        <w:t>.</w:t>
      </w:r>
    </w:p>
    <w:p w14:paraId="128DA044" w14:textId="77777777" w:rsidR="002809D8" w:rsidRDefault="002809D8" w:rsidP="00657403">
      <w:pPr>
        <w:spacing w:after="0"/>
        <w:jc w:val="both"/>
        <w:rPr>
          <w:rFonts w:ascii="Cambria" w:hAnsi="Cambria" w:cs="Times New Roman"/>
          <w:sz w:val="20"/>
          <w:szCs w:val="20"/>
        </w:rPr>
      </w:pPr>
    </w:p>
    <w:p w14:paraId="59586154" w14:textId="77777777" w:rsidR="002809D8" w:rsidRDefault="002809D8" w:rsidP="00657403">
      <w:pPr>
        <w:spacing w:after="0"/>
        <w:jc w:val="both"/>
        <w:rPr>
          <w:rFonts w:ascii="Cambria" w:hAnsi="Cambria" w:cs="Times New Roman"/>
          <w:sz w:val="20"/>
          <w:szCs w:val="20"/>
        </w:rPr>
      </w:pPr>
    </w:p>
    <w:p w14:paraId="01AB2EB2" w14:textId="77777777" w:rsidR="002809D8" w:rsidRDefault="002809D8" w:rsidP="00657403">
      <w:pPr>
        <w:spacing w:after="0"/>
        <w:jc w:val="both"/>
        <w:rPr>
          <w:rFonts w:ascii="Cambria" w:hAnsi="Cambria" w:cs="Times New Roman"/>
          <w:sz w:val="20"/>
          <w:szCs w:val="20"/>
        </w:rPr>
      </w:pPr>
    </w:p>
    <w:p w14:paraId="542DE70B" w14:textId="77777777" w:rsidR="002809D8" w:rsidRDefault="002809D8" w:rsidP="00657403">
      <w:pPr>
        <w:spacing w:after="0"/>
        <w:jc w:val="both"/>
        <w:rPr>
          <w:rFonts w:ascii="Cambria" w:hAnsi="Cambria" w:cs="Times New Roman"/>
          <w:sz w:val="20"/>
          <w:szCs w:val="20"/>
        </w:rPr>
      </w:pPr>
    </w:p>
    <w:p w14:paraId="6C087817" w14:textId="77777777" w:rsidR="002809D8" w:rsidRDefault="002809D8" w:rsidP="00657403">
      <w:pPr>
        <w:spacing w:after="0"/>
        <w:jc w:val="both"/>
        <w:rPr>
          <w:rFonts w:ascii="Cambria" w:hAnsi="Cambria" w:cs="Times New Roman"/>
          <w:sz w:val="20"/>
          <w:szCs w:val="20"/>
        </w:rPr>
      </w:pPr>
    </w:p>
    <w:p w14:paraId="7BD5D499" w14:textId="77777777" w:rsidR="002809D8" w:rsidRDefault="002809D8" w:rsidP="00657403">
      <w:pPr>
        <w:spacing w:after="0"/>
        <w:jc w:val="both"/>
        <w:rPr>
          <w:rFonts w:ascii="Cambria" w:hAnsi="Cambria" w:cs="Times New Roman"/>
          <w:sz w:val="20"/>
          <w:szCs w:val="20"/>
        </w:rPr>
      </w:pPr>
    </w:p>
    <w:p w14:paraId="1096E027" w14:textId="77777777" w:rsidR="002809D8" w:rsidRDefault="002809D8" w:rsidP="00657403">
      <w:pPr>
        <w:spacing w:after="0"/>
        <w:jc w:val="both"/>
        <w:rPr>
          <w:rFonts w:ascii="Cambria" w:hAnsi="Cambria" w:cs="Times New Roman"/>
          <w:sz w:val="20"/>
          <w:szCs w:val="20"/>
        </w:rPr>
      </w:pPr>
    </w:p>
    <w:p w14:paraId="3B8508AD" w14:textId="77777777" w:rsidR="002809D8" w:rsidRDefault="002809D8" w:rsidP="00657403">
      <w:pPr>
        <w:spacing w:after="0"/>
        <w:jc w:val="both"/>
        <w:rPr>
          <w:rFonts w:ascii="Cambria" w:hAnsi="Cambria" w:cs="Times New Roman"/>
          <w:sz w:val="20"/>
          <w:szCs w:val="20"/>
        </w:rPr>
      </w:pPr>
    </w:p>
    <w:p w14:paraId="6C0A84D4" w14:textId="0721ECC5" w:rsidR="00657403" w:rsidRPr="00657403" w:rsidRDefault="00657403" w:rsidP="00657403">
      <w:pPr>
        <w:spacing w:after="0"/>
        <w:jc w:val="both"/>
        <w:rPr>
          <w:rFonts w:ascii="Cambria" w:hAnsi="Cambria" w:cs="Times New Roman"/>
          <w:sz w:val="20"/>
          <w:szCs w:val="20"/>
        </w:rPr>
      </w:pPr>
      <w:r w:rsidRPr="00657403">
        <w:rPr>
          <w:rFonts w:ascii="Cambria" w:hAnsi="Cambria" w:cs="Times New Roman"/>
          <w:sz w:val="20"/>
          <w:szCs w:val="20"/>
        </w:rPr>
        <w:t>Fuente 3:</w:t>
      </w:r>
    </w:p>
    <w:p w14:paraId="33AE26B2" w14:textId="77777777" w:rsidR="00657403" w:rsidRPr="00657403" w:rsidRDefault="00657403" w:rsidP="00657403">
      <w:pPr>
        <w:spacing w:after="0"/>
        <w:jc w:val="both"/>
        <w:rPr>
          <w:rFonts w:ascii="Cambria" w:hAnsi="Cambria" w:cs="Times New Roman"/>
          <w:sz w:val="20"/>
          <w:szCs w:val="20"/>
        </w:rPr>
      </w:pPr>
      <w:r w:rsidRPr="00657403">
        <w:rPr>
          <w:rFonts w:ascii="Cambria" w:hAnsi="Cambria" w:cs="Times New Roman"/>
          <w:sz w:val="20"/>
          <w:szCs w:val="20"/>
        </w:rPr>
        <w:t xml:space="preserve">“[El repartimiento] fue la pieza clave del sistema económico de la Colonia y puede afirmarse que sería imposible integrar una visión científica de la sociedad colonial (…) mientras no se reconozca que la base de aquella estructura social fue su régimen de trabajo: (…) el trabajo obligatorio de los nativos, el riguroso control de los indígenas en sus pueblos, desde los cuales eran enviados periódicamente a trabajar a las haciendas y labores de los españoles y de sus descendientes a lo largo de tres siglos coloniales”. </w:t>
      </w:r>
    </w:p>
    <w:p w14:paraId="57298E1C" w14:textId="3B0F41FF" w:rsidR="00657403" w:rsidRPr="00657403" w:rsidRDefault="00657403" w:rsidP="00657403">
      <w:pPr>
        <w:spacing w:after="0"/>
        <w:jc w:val="right"/>
        <w:rPr>
          <w:rFonts w:ascii="Cambria" w:hAnsi="Cambria" w:cs="Times New Roman"/>
          <w:sz w:val="20"/>
          <w:szCs w:val="20"/>
        </w:rPr>
      </w:pPr>
      <w:r w:rsidRPr="00657403">
        <w:rPr>
          <w:rFonts w:ascii="Cambria" w:hAnsi="Cambria" w:cs="Times New Roman"/>
          <w:sz w:val="20"/>
          <w:szCs w:val="20"/>
        </w:rPr>
        <w:t xml:space="preserve">Martínez, S. (1981). </w:t>
      </w:r>
      <w:r w:rsidRPr="00657403">
        <w:rPr>
          <w:rFonts w:ascii="Cambria" w:hAnsi="Cambria" w:cs="Times New Roman"/>
          <w:i/>
          <w:iCs/>
          <w:sz w:val="20"/>
          <w:szCs w:val="20"/>
        </w:rPr>
        <w:t>La patria del criollo</w:t>
      </w:r>
      <w:r w:rsidRPr="00657403">
        <w:rPr>
          <w:rFonts w:ascii="Cambria" w:hAnsi="Cambria" w:cs="Times New Roman"/>
          <w:sz w:val="20"/>
          <w:szCs w:val="20"/>
        </w:rPr>
        <w:t>.</w:t>
      </w:r>
    </w:p>
    <w:p w14:paraId="318FF82B" w14:textId="635B42FE" w:rsidR="00657403" w:rsidRPr="00657403" w:rsidRDefault="00657403" w:rsidP="00657403">
      <w:pPr>
        <w:spacing w:after="0"/>
        <w:jc w:val="both"/>
        <w:rPr>
          <w:rFonts w:ascii="Cambria" w:hAnsi="Cambria" w:cs="Times New Roman"/>
          <w:sz w:val="20"/>
          <w:szCs w:val="20"/>
        </w:rPr>
      </w:pPr>
      <w:r w:rsidRPr="00657403">
        <w:rPr>
          <w:rFonts w:ascii="Cambria" w:hAnsi="Cambria" w:cs="Times New Roman"/>
          <w:sz w:val="20"/>
          <w:szCs w:val="20"/>
        </w:rPr>
        <w:t>Fuente 4:</w:t>
      </w:r>
    </w:p>
    <w:p w14:paraId="48003795" w14:textId="3352B1D4" w:rsidR="00657403" w:rsidRPr="00657403" w:rsidRDefault="00657403" w:rsidP="00657403">
      <w:pPr>
        <w:spacing w:after="0"/>
        <w:jc w:val="both"/>
        <w:rPr>
          <w:rFonts w:ascii="Cambria" w:hAnsi="Cambria" w:cs="Times New Roman"/>
          <w:sz w:val="20"/>
          <w:szCs w:val="20"/>
        </w:rPr>
      </w:pPr>
      <w:r w:rsidRPr="00657403">
        <w:rPr>
          <w:rFonts w:ascii="Cambria" w:hAnsi="Cambria" w:cs="Times New Roman"/>
          <w:sz w:val="20"/>
          <w:szCs w:val="20"/>
        </w:rPr>
        <w:t xml:space="preserve">“La crisis demográfica origina la aparición de una intervención de la Corona española, para regular el trabajo indígena (…). Estas medidas sirvieron para diseñar un sistema de explotación de la mano de obra indígena que implicaba una transacción entre los intereses de la Corona, la Iglesia y los conquistadores, que sustituía la forma original usada por los españoles, la encomienda de servicios (…). En esta transacción la Corona logró asegurarse ingresos fiscales de importancia, haciendo tributar a los indígenas para ella; los colonizadores mantuvieron, aunque limitado, su control básico sobre el trabajo indígena, y la Iglesia logró que los indios se congregaran en pueblos, en donde se les facilitaba su obra evangelizadora y de acumulación de riqueza material”. </w:t>
      </w:r>
    </w:p>
    <w:p w14:paraId="2EFFD7EE" w14:textId="067CF2D4" w:rsidR="00657403" w:rsidRPr="00657403" w:rsidRDefault="00657403" w:rsidP="00657403">
      <w:pPr>
        <w:spacing w:after="0"/>
        <w:jc w:val="right"/>
        <w:rPr>
          <w:rFonts w:ascii="Cambria" w:hAnsi="Cambria" w:cs="Times New Roman"/>
          <w:sz w:val="20"/>
          <w:szCs w:val="20"/>
        </w:rPr>
      </w:pPr>
      <w:proofErr w:type="spellStart"/>
      <w:r w:rsidRPr="00657403">
        <w:rPr>
          <w:rFonts w:ascii="Cambria" w:hAnsi="Cambria" w:cs="Times New Roman"/>
          <w:sz w:val="20"/>
          <w:szCs w:val="20"/>
        </w:rPr>
        <w:t>Pochet</w:t>
      </w:r>
      <w:proofErr w:type="spellEnd"/>
      <w:r w:rsidRPr="00657403">
        <w:rPr>
          <w:rFonts w:ascii="Cambria" w:hAnsi="Cambria" w:cs="Times New Roman"/>
          <w:sz w:val="20"/>
          <w:szCs w:val="20"/>
        </w:rPr>
        <w:t xml:space="preserve">, C. (2005). </w:t>
      </w:r>
      <w:r w:rsidRPr="00657403">
        <w:rPr>
          <w:rFonts w:ascii="Cambria" w:hAnsi="Cambria" w:cs="Times New Roman"/>
          <w:i/>
          <w:iCs/>
          <w:sz w:val="20"/>
          <w:szCs w:val="20"/>
        </w:rPr>
        <w:t>Historia de América en perspectiva latinoamericana</w:t>
      </w:r>
      <w:r w:rsidRPr="00657403">
        <w:rPr>
          <w:rFonts w:ascii="Cambria" w:hAnsi="Cambria" w:cs="Times New Roman"/>
          <w:sz w:val="20"/>
          <w:szCs w:val="20"/>
        </w:rPr>
        <w:t>.</w:t>
      </w:r>
    </w:p>
    <w:p w14:paraId="7703E2A7" w14:textId="12D70E5E" w:rsidR="00657403" w:rsidRPr="00657403" w:rsidRDefault="00657403" w:rsidP="00657403">
      <w:pPr>
        <w:spacing w:after="0"/>
        <w:jc w:val="both"/>
        <w:rPr>
          <w:rFonts w:ascii="Cambria" w:hAnsi="Cambria" w:cs="Times New Roman"/>
          <w:sz w:val="20"/>
          <w:szCs w:val="20"/>
        </w:rPr>
      </w:pPr>
      <w:r w:rsidRPr="00657403">
        <w:rPr>
          <w:rFonts w:ascii="Cambria" w:hAnsi="Cambria" w:cs="Times New Roman"/>
          <w:sz w:val="20"/>
          <w:szCs w:val="20"/>
        </w:rPr>
        <w:t>Fuente 5:</w:t>
      </w:r>
    </w:p>
    <w:p w14:paraId="7B3AAB24" w14:textId="77777777" w:rsidR="00657403" w:rsidRPr="00657403" w:rsidRDefault="00657403" w:rsidP="00657403">
      <w:pPr>
        <w:spacing w:after="0"/>
        <w:jc w:val="both"/>
        <w:rPr>
          <w:rFonts w:ascii="Cambria" w:hAnsi="Cambria" w:cs="Times New Roman"/>
          <w:sz w:val="20"/>
          <w:szCs w:val="20"/>
        </w:rPr>
      </w:pPr>
      <w:r w:rsidRPr="00657403">
        <w:rPr>
          <w:rFonts w:ascii="Cambria" w:hAnsi="Cambria" w:cs="Times New Roman"/>
          <w:sz w:val="20"/>
          <w:szCs w:val="20"/>
        </w:rPr>
        <w:t xml:space="preserve">“Sería difícil argumentar una existencia fácil para la mayoría de los esclavos africanos. En general, dormían sobre una tabla que les servía de lecho, ya fuera en cobertizos en el patio o detrás de la casa principal. Vestían ropas de una pobreza patética, que se reponían como máximo dos veces al año, y solo recibían atención médica cuando era absolutamente necesario y, con frecuencia, demasiado tarde”. </w:t>
      </w:r>
    </w:p>
    <w:p w14:paraId="6F6A345B" w14:textId="4E64BA52" w:rsidR="00657403" w:rsidRPr="00657403" w:rsidRDefault="00657403" w:rsidP="00657403">
      <w:pPr>
        <w:spacing w:after="0"/>
        <w:jc w:val="right"/>
        <w:rPr>
          <w:rFonts w:ascii="Cambria" w:hAnsi="Cambria" w:cs="Times New Roman"/>
          <w:sz w:val="20"/>
          <w:szCs w:val="20"/>
        </w:rPr>
      </w:pPr>
      <w:proofErr w:type="spellStart"/>
      <w:r w:rsidRPr="00657403">
        <w:rPr>
          <w:rFonts w:ascii="Cambria" w:hAnsi="Cambria" w:cs="Times New Roman"/>
          <w:sz w:val="20"/>
          <w:szCs w:val="20"/>
        </w:rPr>
        <w:t>Bowser</w:t>
      </w:r>
      <w:proofErr w:type="spellEnd"/>
      <w:r w:rsidRPr="00657403">
        <w:rPr>
          <w:rFonts w:ascii="Cambria" w:hAnsi="Cambria" w:cs="Times New Roman"/>
          <w:sz w:val="20"/>
          <w:szCs w:val="20"/>
        </w:rPr>
        <w:t xml:space="preserve">, F. (1990). </w:t>
      </w:r>
      <w:r w:rsidRPr="00657403">
        <w:rPr>
          <w:rFonts w:ascii="Cambria" w:hAnsi="Cambria" w:cs="Times New Roman"/>
          <w:i/>
          <w:iCs/>
          <w:sz w:val="20"/>
          <w:szCs w:val="20"/>
        </w:rPr>
        <w:t>Los africanos en la sociedad de la América española colonial</w:t>
      </w:r>
      <w:r w:rsidRPr="00657403">
        <w:rPr>
          <w:rFonts w:ascii="Cambria" w:hAnsi="Cambria" w:cs="Times New Roman"/>
          <w:sz w:val="20"/>
          <w:szCs w:val="20"/>
        </w:rPr>
        <w:t>.</w:t>
      </w:r>
    </w:p>
    <w:p w14:paraId="5FB315BD" w14:textId="77777777" w:rsidR="00C767DF" w:rsidRDefault="00C767DF"/>
    <w:sectPr w:rsidR="00C767DF" w:rsidSect="002809D8">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8ECB" w14:textId="77777777" w:rsidR="00F55620" w:rsidRDefault="00F55620" w:rsidP="00657403">
      <w:pPr>
        <w:spacing w:after="0" w:line="240" w:lineRule="auto"/>
      </w:pPr>
      <w:r>
        <w:separator/>
      </w:r>
    </w:p>
  </w:endnote>
  <w:endnote w:type="continuationSeparator" w:id="0">
    <w:p w14:paraId="46AFA226" w14:textId="77777777" w:rsidR="00F55620" w:rsidRDefault="00F55620" w:rsidP="0065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B435" w14:textId="77777777" w:rsidR="00F55620" w:rsidRDefault="00F55620" w:rsidP="00657403">
      <w:pPr>
        <w:spacing w:after="0" w:line="240" w:lineRule="auto"/>
      </w:pPr>
      <w:r>
        <w:separator/>
      </w:r>
    </w:p>
  </w:footnote>
  <w:footnote w:type="continuationSeparator" w:id="0">
    <w:p w14:paraId="347ECE43" w14:textId="77777777" w:rsidR="00F55620" w:rsidRDefault="00F55620" w:rsidP="00657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4ECE" w14:textId="70EE9B62" w:rsidR="00657403" w:rsidRDefault="00657403">
    <w:pPr>
      <w:pStyle w:val="Encabezado"/>
    </w:pPr>
    <w:r w:rsidRPr="00732B2B">
      <w:rPr>
        <w:noProof/>
      </w:rPr>
      <mc:AlternateContent>
        <mc:Choice Requires="wps">
          <w:drawing>
            <wp:anchor distT="0" distB="0" distL="114300" distR="114300" simplePos="0" relativeHeight="251661312" behindDoc="0" locked="0" layoutInCell="1" allowOverlap="1" wp14:anchorId="0CCBEE9F" wp14:editId="12A21EF4">
              <wp:simplePos x="0" y="0"/>
              <wp:positionH relativeFrom="column">
                <wp:posOffset>4419600</wp:posOffset>
              </wp:positionH>
              <wp:positionV relativeFrom="paragraph">
                <wp:posOffset>-168275</wp:posOffset>
              </wp:positionV>
              <wp:extent cx="1905192" cy="461665"/>
              <wp:effectExtent l="0" t="0" r="0" b="0"/>
              <wp:wrapNone/>
              <wp:docPr id="6" name="CuadroTexto 5">
                <a:extLst xmlns:a="http://schemas.openxmlformats.org/drawingml/2006/main">
                  <a:ext uri="{FF2B5EF4-FFF2-40B4-BE49-F238E27FC236}">
                    <a16:creationId xmlns:a16="http://schemas.microsoft.com/office/drawing/2014/main" id="{0B141181-B1B7-49E4-837E-9AA676CE48D1}"/>
                  </a:ext>
                </a:extLst>
              </wp:docPr>
              <wp:cNvGraphicFramePr/>
              <a:graphic xmlns:a="http://schemas.openxmlformats.org/drawingml/2006/main">
                <a:graphicData uri="http://schemas.microsoft.com/office/word/2010/wordprocessingShape">
                  <wps:wsp>
                    <wps:cNvSpPr txBox="1"/>
                    <wps:spPr>
                      <a:xfrm>
                        <a:off x="0" y="0"/>
                        <a:ext cx="1905192" cy="461665"/>
                      </a:xfrm>
                      <a:prstGeom prst="rect">
                        <a:avLst/>
                      </a:prstGeom>
                      <a:noFill/>
                    </wps:spPr>
                    <wps:txbx>
                      <w:txbxContent>
                        <w:p w14:paraId="2DBB3AC5" w14:textId="77777777" w:rsidR="00657403" w:rsidRPr="00732B2B" w:rsidRDefault="00657403" w:rsidP="0065740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02CA5A68" w14:textId="77777777" w:rsidR="00657403" w:rsidRPr="00732B2B" w:rsidRDefault="00657403" w:rsidP="0065740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27FAFC28" w14:textId="77777777" w:rsidR="00657403" w:rsidRPr="00732B2B" w:rsidRDefault="00657403" w:rsidP="0065740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wps:txbx>
                    <wps:bodyPr wrap="square">
                      <a:spAutoFit/>
                    </wps:bodyPr>
                  </wps:wsp>
                </a:graphicData>
              </a:graphic>
            </wp:anchor>
          </w:drawing>
        </mc:Choice>
        <mc:Fallback>
          <w:pict>
            <v:shapetype w14:anchorId="0CCBEE9F" id="_x0000_t202" coordsize="21600,21600" o:spt="202" path="m,l,21600r21600,l21600,xe">
              <v:stroke joinstyle="miter"/>
              <v:path gradientshapeok="t" o:connecttype="rect"/>
            </v:shapetype>
            <v:shape id="CuadroTexto 5" o:spid="_x0000_s1026" type="#_x0000_t202" style="position:absolute;margin-left:348pt;margin-top:-13.25pt;width:150pt;height:3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" filled="f" stroked="f">
              <v:textbox style="mso-fit-shape-to-text:t">
                <w:txbxContent>
                  <w:p w14:paraId="2DBB3AC5" w14:textId="77777777" w:rsidR="00657403" w:rsidRPr="00732B2B" w:rsidRDefault="00657403" w:rsidP="0065740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02CA5A68" w14:textId="77777777" w:rsidR="00657403" w:rsidRPr="00732B2B" w:rsidRDefault="00657403" w:rsidP="0065740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27FAFC28" w14:textId="77777777" w:rsidR="00657403" w:rsidRPr="00732B2B" w:rsidRDefault="00657403" w:rsidP="0065740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v:textbox>
            </v:shape>
          </w:pict>
        </mc:Fallback>
      </mc:AlternateContent>
    </w:r>
    <w:r w:rsidRPr="00732B2B">
      <w:rPr>
        <w:noProof/>
      </w:rPr>
      <mc:AlternateContent>
        <mc:Choice Requires="wps">
          <w:drawing>
            <wp:anchor distT="0" distB="0" distL="114300" distR="114300" simplePos="0" relativeHeight="251659264" behindDoc="0" locked="0" layoutInCell="1" allowOverlap="1" wp14:anchorId="1466BA40" wp14:editId="38B81D87">
              <wp:simplePos x="0" y="0"/>
              <wp:positionH relativeFrom="column">
                <wp:posOffset>-723900</wp:posOffset>
              </wp:positionH>
              <wp:positionV relativeFrom="paragraph">
                <wp:posOffset>-238760</wp:posOffset>
              </wp:positionV>
              <wp:extent cx="2040890" cy="676275"/>
              <wp:effectExtent l="0" t="0" r="16510" b="9525"/>
              <wp:wrapNone/>
              <wp:docPr id="4" name="Cuadro de texto 2">
                <a:extLst xmlns:a="http://schemas.openxmlformats.org/drawingml/2006/main">
                  <a:ext uri="{FF2B5EF4-FFF2-40B4-BE49-F238E27FC236}">
                    <a16:creationId xmlns:a16="http://schemas.microsoft.com/office/drawing/2014/main" id="{5AD88D7E-5AD3-48A6-9DBC-9D700ED2B0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034F2" w14:textId="77777777" w:rsidR="00657403" w:rsidRDefault="00657403" w:rsidP="0065740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7E1C0559" w14:textId="77777777" w:rsidR="00657403" w:rsidRDefault="00657403" w:rsidP="0065740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4061495" w14:textId="77777777" w:rsidR="00657403" w:rsidRDefault="00657403" w:rsidP="0065740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4A7FD5D8" wp14:editId="253B99C2">
                                <wp:extent cx="253956" cy="252821"/>
                                <wp:effectExtent l="0" t="0" r="0" b="0"/>
                                <wp:docPr id="1295517736" name="Imagen 1295517736"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466BA40" id="Cuadro de texto 2" o:spid="_x0000_s1027" type="#_x0000_t202" style="position:absolute;margin-left:-57pt;margin-top:-18.8pt;width:160.7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" filled="f" stroked="f">
              <v:textbox inset="0,0,0,0">
                <w:txbxContent>
                  <w:p w14:paraId="55A034F2" w14:textId="77777777" w:rsidR="00657403" w:rsidRDefault="00657403" w:rsidP="0065740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7E1C0559" w14:textId="77777777" w:rsidR="00657403" w:rsidRDefault="00657403" w:rsidP="0065740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4061495" w14:textId="77777777" w:rsidR="00657403" w:rsidRDefault="00657403" w:rsidP="0065740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4A7FD5D8" wp14:editId="253B99C2">
                          <wp:extent cx="253956" cy="252821"/>
                          <wp:effectExtent l="0" t="0" r="0" b="0"/>
                          <wp:docPr id="1295517736" name="Imagen 1295517736"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DCB"/>
    <w:multiLevelType w:val="hybridMultilevel"/>
    <w:tmpl w:val="0FD815F4"/>
    <w:lvl w:ilvl="0" w:tplc="D9AC1DF8">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5AFF38CE"/>
    <w:multiLevelType w:val="hybridMultilevel"/>
    <w:tmpl w:val="0F00D1B0"/>
    <w:lvl w:ilvl="0" w:tplc="76D66E32">
      <w:start w:val="16"/>
      <w:numFmt w:val="bullet"/>
      <w:lvlText w:val=""/>
      <w:lvlJc w:val="left"/>
      <w:pPr>
        <w:ind w:left="720" w:hanging="360"/>
      </w:pPr>
      <w:rPr>
        <w:rFonts w:ascii="Symbol" w:eastAsiaTheme="minorHAnsi" w:hAnsi="Symbol"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418719846">
    <w:abstractNumId w:val="1"/>
  </w:num>
  <w:num w:numId="2" w16cid:durableId="521552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03"/>
    <w:rsid w:val="002602C3"/>
    <w:rsid w:val="002809D8"/>
    <w:rsid w:val="00657403"/>
    <w:rsid w:val="00865ACE"/>
    <w:rsid w:val="00C767DF"/>
    <w:rsid w:val="00F556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3E932"/>
  <w15:chartTrackingRefBased/>
  <w15:docId w15:val="{B4D06E19-92BC-4A85-9EE1-887BB981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403"/>
    <w:rPr>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4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403"/>
    <w:rPr>
      <w:rFonts w:ascii="Cambria" w:hAnsi="Cambria"/>
    </w:rPr>
  </w:style>
  <w:style w:type="paragraph" w:styleId="Piedepgina">
    <w:name w:val="footer"/>
    <w:basedOn w:val="Normal"/>
    <w:link w:val="PiedepginaCar"/>
    <w:uiPriority w:val="99"/>
    <w:unhideWhenUsed/>
    <w:rsid w:val="006574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403"/>
    <w:rPr>
      <w:rFonts w:ascii="Cambria" w:hAnsi="Cambria"/>
    </w:rPr>
  </w:style>
  <w:style w:type="table" w:styleId="Tablaconcuadrcula">
    <w:name w:val="Table Grid"/>
    <w:basedOn w:val="Tablanormal"/>
    <w:uiPriority w:val="39"/>
    <w:rsid w:val="00657403"/>
    <w:pPr>
      <w:spacing w:after="0" w:line="240" w:lineRule="auto"/>
    </w:pPr>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57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4019</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santibañez cid</dc:creator>
  <cp:keywords/>
  <dc:description/>
  <cp:lastModifiedBy>pablo espinosa perez</cp:lastModifiedBy>
  <cp:revision>2</cp:revision>
  <cp:lastPrinted>2023-07-25T15:55:00Z</cp:lastPrinted>
  <dcterms:created xsi:type="dcterms:W3CDTF">2023-07-25T15:55:00Z</dcterms:created>
  <dcterms:modified xsi:type="dcterms:W3CDTF">2023-07-25T15:55:00Z</dcterms:modified>
</cp:coreProperties>
</file>