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12A0B" w14:textId="013EEF60" w:rsidR="00690428" w:rsidRPr="00BD5D09" w:rsidRDefault="00690428" w:rsidP="00690428">
      <w:pPr>
        <w:spacing w:after="0"/>
        <w:jc w:val="center"/>
        <w:rPr>
          <w:rFonts w:ascii="Cambria" w:hAnsi="Cambria"/>
          <w:b/>
          <w:bCs/>
          <w:u w:val="single"/>
        </w:rPr>
      </w:pPr>
      <w:r w:rsidRPr="00BD5D09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7</w:t>
      </w:r>
    </w:p>
    <w:p w14:paraId="26C6C702" w14:textId="15D34100" w:rsidR="00690428" w:rsidRPr="00BD5D09" w:rsidRDefault="00690428" w:rsidP="00690428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¿CÓMO IMPACTARON LAS IDEAS LIBERALES EN CHILE?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690428" w:rsidRPr="00BD5D09" w14:paraId="4CE2CF34" w14:textId="77777777" w:rsidTr="00F06C3D">
        <w:tc>
          <w:tcPr>
            <w:tcW w:w="1696" w:type="dxa"/>
          </w:tcPr>
          <w:p w14:paraId="32CD6E7F" w14:textId="77777777" w:rsidR="00690428" w:rsidRPr="00BD5D09" w:rsidRDefault="00690428" w:rsidP="00F06C3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D5D09">
              <w:rPr>
                <w:rFonts w:ascii="Cambria" w:hAnsi="Cambria"/>
                <w:sz w:val="20"/>
                <w:szCs w:val="20"/>
              </w:rPr>
              <w:t>Nombre</w:t>
            </w:r>
          </w:p>
        </w:tc>
        <w:tc>
          <w:tcPr>
            <w:tcW w:w="7132" w:type="dxa"/>
          </w:tcPr>
          <w:p w14:paraId="0E14BEA7" w14:textId="77777777" w:rsidR="00690428" w:rsidRPr="00BD5D09" w:rsidRDefault="00690428" w:rsidP="00F06C3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90428" w:rsidRPr="00BD5D09" w14:paraId="2E21DD15" w14:textId="77777777" w:rsidTr="00F06C3D">
        <w:tc>
          <w:tcPr>
            <w:tcW w:w="1696" w:type="dxa"/>
          </w:tcPr>
          <w:p w14:paraId="3433E31F" w14:textId="77777777" w:rsidR="00690428" w:rsidRPr="00BD5D09" w:rsidRDefault="00690428" w:rsidP="00F06C3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D5D09">
              <w:rPr>
                <w:rFonts w:ascii="Cambria" w:hAnsi="Cambria"/>
                <w:sz w:val="20"/>
                <w:szCs w:val="20"/>
              </w:rPr>
              <w:t>Fecha</w:t>
            </w:r>
          </w:p>
        </w:tc>
        <w:tc>
          <w:tcPr>
            <w:tcW w:w="7132" w:type="dxa"/>
          </w:tcPr>
          <w:p w14:paraId="459CDEF3" w14:textId="33478F0B" w:rsidR="00690428" w:rsidRPr="00BD5D09" w:rsidRDefault="00690428" w:rsidP="00F06C3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25-04-2024</w:t>
            </w:r>
          </w:p>
        </w:tc>
      </w:tr>
    </w:tbl>
    <w:p w14:paraId="642B2912" w14:textId="73E52E7F" w:rsidR="00690428" w:rsidRPr="0004627A" w:rsidRDefault="00690428" w:rsidP="00690428">
      <w:pPr>
        <w:spacing w:before="240"/>
        <w:jc w:val="both"/>
        <w:rPr>
          <w:rFonts w:ascii="Cambria" w:hAnsi="Cambria"/>
          <w:b/>
          <w:bCs/>
        </w:rPr>
      </w:pPr>
      <w:r w:rsidRPr="0004627A">
        <w:rPr>
          <w:rFonts w:ascii="Cambria" w:hAnsi="Cambria"/>
          <w:b/>
          <w:bCs/>
        </w:rPr>
        <w:t xml:space="preserve">Objetivo: </w:t>
      </w:r>
      <w:r>
        <w:rPr>
          <w:rFonts w:ascii="Cambria" w:hAnsi="Cambria"/>
          <w:b/>
          <w:bCs/>
        </w:rPr>
        <w:t>Caracterizar el impacto de las ideas liberales en Chile a través de fuentes para valorar el conocimiento histórico como forma de entender nuestra realidad</w:t>
      </w:r>
    </w:p>
    <w:p w14:paraId="66D38B73" w14:textId="77777777" w:rsidR="00690428" w:rsidRPr="0004627A" w:rsidRDefault="00690428" w:rsidP="00690428">
      <w:pPr>
        <w:spacing w:after="0"/>
        <w:jc w:val="both"/>
        <w:rPr>
          <w:rFonts w:ascii="Cambria" w:hAnsi="Cambria"/>
          <w:b/>
          <w:bCs/>
        </w:rPr>
      </w:pPr>
      <w:r w:rsidRPr="0004627A">
        <w:rPr>
          <w:rFonts w:ascii="Cambria" w:hAnsi="Cambria"/>
          <w:b/>
          <w:bCs/>
        </w:rPr>
        <w:t>Instrucciones:</w:t>
      </w:r>
    </w:p>
    <w:p w14:paraId="2A0E4B15" w14:textId="6D2050E0" w:rsidR="00A97291" w:rsidRPr="00A97291" w:rsidRDefault="00690428" w:rsidP="00A97291">
      <w:pPr>
        <w:pStyle w:val="Prrafodelista"/>
        <w:numPr>
          <w:ilvl w:val="0"/>
          <w:numId w:val="1"/>
        </w:numPr>
        <w:spacing w:after="0"/>
        <w:jc w:val="both"/>
      </w:pPr>
      <w:r>
        <w:rPr>
          <w:rFonts w:ascii="Cambria" w:hAnsi="Cambria"/>
        </w:rPr>
        <w:t>En parejas lean</w:t>
      </w:r>
      <w:r w:rsidRPr="0004627A">
        <w:rPr>
          <w:rFonts w:ascii="Cambria" w:hAnsi="Cambria"/>
        </w:rPr>
        <w:t xml:space="preserve"> las fuentes que se presentan </w:t>
      </w:r>
      <w:r>
        <w:rPr>
          <w:rFonts w:ascii="Cambria" w:hAnsi="Cambria"/>
        </w:rPr>
        <w:t>y respondan las preguntas:</w:t>
      </w:r>
    </w:p>
    <w:p w14:paraId="1C369135" w14:textId="20B33FCF" w:rsidR="00A97291" w:rsidRPr="00A97291" w:rsidRDefault="00A97291" w:rsidP="00A97291">
      <w:pPr>
        <w:pStyle w:val="Prrafodelista"/>
        <w:numPr>
          <w:ilvl w:val="0"/>
          <w:numId w:val="3"/>
        </w:numPr>
        <w:spacing w:after="0"/>
        <w:jc w:val="both"/>
      </w:pPr>
      <w:r>
        <w:rPr>
          <w:rFonts w:ascii="Cambria" w:hAnsi="Cambria"/>
        </w:rPr>
        <w:t>Completa la siguiente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3"/>
        <w:gridCol w:w="1763"/>
        <w:gridCol w:w="1764"/>
        <w:gridCol w:w="1764"/>
        <w:gridCol w:w="1764"/>
      </w:tblGrid>
      <w:tr w:rsidR="00A97291" w:rsidRPr="00A97291" w14:paraId="47E38A1C" w14:textId="77777777" w:rsidTr="00A97291">
        <w:tc>
          <w:tcPr>
            <w:tcW w:w="1795" w:type="dxa"/>
          </w:tcPr>
          <w:p w14:paraId="5A3BF903" w14:textId="77777777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5" w:type="dxa"/>
          </w:tcPr>
          <w:p w14:paraId="49CCC2A4" w14:textId="3BECCB21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97291">
              <w:rPr>
                <w:rFonts w:ascii="Cambria" w:hAnsi="Cambria"/>
                <w:sz w:val="20"/>
                <w:szCs w:val="20"/>
              </w:rPr>
              <w:t>Fuente 1</w:t>
            </w:r>
          </w:p>
        </w:tc>
        <w:tc>
          <w:tcPr>
            <w:tcW w:w="1796" w:type="dxa"/>
          </w:tcPr>
          <w:p w14:paraId="4F53E7F1" w14:textId="526CA31C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97291">
              <w:rPr>
                <w:rFonts w:ascii="Cambria" w:hAnsi="Cambria"/>
                <w:sz w:val="20"/>
                <w:szCs w:val="20"/>
              </w:rPr>
              <w:t>Fuente 2</w:t>
            </w:r>
          </w:p>
        </w:tc>
        <w:tc>
          <w:tcPr>
            <w:tcW w:w="1796" w:type="dxa"/>
          </w:tcPr>
          <w:p w14:paraId="60F5E4A3" w14:textId="45BEF41F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97291">
              <w:rPr>
                <w:rFonts w:ascii="Cambria" w:hAnsi="Cambria"/>
                <w:sz w:val="20"/>
                <w:szCs w:val="20"/>
              </w:rPr>
              <w:t>Fuente 3</w:t>
            </w:r>
          </w:p>
        </w:tc>
        <w:tc>
          <w:tcPr>
            <w:tcW w:w="1796" w:type="dxa"/>
          </w:tcPr>
          <w:p w14:paraId="5451241F" w14:textId="35E8BE75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97291">
              <w:rPr>
                <w:rFonts w:ascii="Cambria" w:hAnsi="Cambria"/>
                <w:sz w:val="20"/>
                <w:szCs w:val="20"/>
              </w:rPr>
              <w:t>Fuente 4</w:t>
            </w:r>
          </w:p>
        </w:tc>
      </w:tr>
      <w:tr w:rsidR="00A97291" w:rsidRPr="00A97291" w14:paraId="0EA5C375" w14:textId="77777777" w:rsidTr="00A97291">
        <w:tc>
          <w:tcPr>
            <w:tcW w:w="1795" w:type="dxa"/>
          </w:tcPr>
          <w:p w14:paraId="7F362DA2" w14:textId="5C7F50A1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97291">
              <w:rPr>
                <w:rFonts w:ascii="Cambria" w:hAnsi="Cambria"/>
                <w:sz w:val="20"/>
                <w:szCs w:val="20"/>
              </w:rPr>
              <w:t>Autor y año</w:t>
            </w:r>
          </w:p>
        </w:tc>
        <w:tc>
          <w:tcPr>
            <w:tcW w:w="1795" w:type="dxa"/>
          </w:tcPr>
          <w:p w14:paraId="5C819B68" w14:textId="77777777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6" w:type="dxa"/>
          </w:tcPr>
          <w:p w14:paraId="7333D2D9" w14:textId="77777777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6" w:type="dxa"/>
          </w:tcPr>
          <w:p w14:paraId="262CC884" w14:textId="77777777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6" w:type="dxa"/>
          </w:tcPr>
          <w:p w14:paraId="1F154932" w14:textId="77777777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97291" w:rsidRPr="00A97291" w14:paraId="08778FAE" w14:textId="77777777" w:rsidTr="00A97291">
        <w:tc>
          <w:tcPr>
            <w:tcW w:w="1795" w:type="dxa"/>
          </w:tcPr>
          <w:p w14:paraId="08480D24" w14:textId="606473CB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97291">
              <w:rPr>
                <w:rFonts w:ascii="Cambria" w:hAnsi="Cambria"/>
                <w:sz w:val="20"/>
                <w:szCs w:val="20"/>
              </w:rPr>
              <w:t>Título</w:t>
            </w:r>
          </w:p>
        </w:tc>
        <w:tc>
          <w:tcPr>
            <w:tcW w:w="1795" w:type="dxa"/>
          </w:tcPr>
          <w:p w14:paraId="4F2CC2F1" w14:textId="77777777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6" w:type="dxa"/>
          </w:tcPr>
          <w:p w14:paraId="033F7F7B" w14:textId="77777777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6" w:type="dxa"/>
          </w:tcPr>
          <w:p w14:paraId="360A42B0" w14:textId="77777777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6" w:type="dxa"/>
          </w:tcPr>
          <w:p w14:paraId="42AD2BD6" w14:textId="77777777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97291" w:rsidRPr="00A97291" w14:paraId="4C8576B8" w14:textId="77777777" w:rsidTr="00A97291">
        <w:tc>
          <w:tcPr>
            <w:tcW w:w="1795" w:type="dxa"/>
          </w:tcPr>
          <w:p w14:paraId="6929CE5D" w14:textId="460C1518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97291">
              <w:rPr>
                <w:rFonts w:ascii="Cambria" w:hAnsi="Cambria"/>
                <w:sz w:val="20"/>
                <w:szCs w:val="20"/>
              </w:rPr>
              <w:t>Origen, naturaleza y ámbito</w:t>
            </w:r>
          </w:p>
        </w:tc>
        <w:tc>
          <w:tcPr>
            <w:tcW w:w="1795" w:type="dxa"/>
          </w:tcPr>
          <w:p w14:paraId="03DEAA45" w14:textId="77777777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6" w:type="dxa"/>
          </w:tcPr>
          <w:p w14:paraId="1036BC70" w14:textId="77777777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6" w:type="dxa"/>
          </w:tcPr>
          <w:p w14:paraId="1EE7BDFA" w14:textId="77777777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6" w:type="dxa"/>
          </w:tcPr>
          <w:p w14:paraId="3B6FD685" w14:textId="77777777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97291" w:rsidRPr="00A97291" w14:paraId="6EE8B416" w14:textId="77777777" w:rsidTr="00A97291">
        <w:tc>
          <w:tcPr>
            <w:tcW w:w="1795" w:type="dxa"/>
          </w:tcPr>
          <w:p w14:paraId="4E812EF3" w14:textId="4D49316E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97291">
              <w:rPr>
                <w:rFonts w:ascii="Cambria" w:hAnsi="Cambria"/>
                <w:sz w:val="20"/>
                <w:szCs w:val="20"/>
              </w:rPr>
              <w:t>Idea principal</w:t>
            </w:r>
          </w:p>
        </w:tc>
        <w:tc>
          <w:tcPr>
            <w:tcW w:w="1795" w:type="dxa"/>
          </w:tcPr>
          <w:p w14:paraId="4CF3019C" w14:textId="77777777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6" w:type="dxa"/>
          </w:tcPr>
          <w:p w14:paraId="219195A4" w14:textId="77777777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6" w:type="dxa"/>
          </w:tcPr>
          <w:p w14:paraId="6926717E" w14:textId="77777777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96" w:type="dxa"/>
          </w:tcPr>
          <w:p w14:paraId="02DCE277" w14:textId="77777777" w:rsidR="00A97291" w:rsidRPr="00A97291" w:rsidRDefault="00A97291" w:rsidP="00A972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E9A3F59" w14:textId="77777777" w:rsidR="00A97291" w:rsidRPr="00A97291" w:rsidRDefault="00A97291" w:rsidP="00A97291">
      <w:pPr>
        <w:spacing w:after="0"/>
        <w:jc w:val="both"/>
        <w:rPr>
          <w:rFonts w:ascii="Cambria" w:hAnsi="Cambria"/>
        </w:rPr>
      </w:pPr>
    </w:p>
    <w:p w14:paraId="57CDFA17" w14:textId="3547D0EC" w:rsidR="00A97291" w:rsidRPr="00A97291" w:rsidRDefault="00A97291" w:rsidP="00A97291">
      <w:pPr>
        <w:pStyle w:val="Prrafodelista"/>
        <w:numPr>
          <w:ilvl w:val="0"/>
          <w:numId w:val="3"/>
        </w:numPr>
        <w:spacing w:after="0"/>
        <w:jc w:val="both"/>
      </w:pPr>
      <w:r>
        <w:rPr>
          <w:rFonts w:ascii="Cambria" w:hAnsi="Cambria"/>
        </w:rPr>
        <w:t>¿Qué ideas liberales y republicanas se encuentran en las fuentes?, ¿qué ideas las contradicen?</w:t>
      </w:r>
    </w:p>
    <w:p w14:paraId="747E7C5A" w14:textId="3162FC19" w:rsidR="007E36DB" w:rsidRPr="007E36DB" w:rsidRDefault="00A97291" w:rsidP="007E36DB">
      <w:pPr>
        <w:pStyle w:val="Prrafodelista"/>
        <w:numPr>
          <w:ilvl w:val="0"/>
          <w:numId w:val="3"/>
        </w:numPr>
        <w:spacing w:after="0"/>
        <w:jc w:val="both"/>
      </w:pPr>
      <w:r>
        <w:rPr>
          <w:rFonts w:ascii="Cambria" w:hAnsi="Cambria"/>
        </w:rPr>
        <w:t>¿Qué ideas se han mantenido y cuáles han cambiado?</w:t>
      </w:r>
      <w:r w:rsidR="007E36DB">
        <w:rPr>
          <w:rFonts w:ascii="Cambria" w:hAnsi="Cambria"/>
        </w:rPr>
        <w:t>, ¿por qué crees que ha pasado?</w:t>
      </w:r>
    </w:p>
    <w:p w14:paraId="46547A5A" w14:textId="4281A898" w:rsidR="007E36DB" w:rsidRPr="00690428" w:rsidRDefault="007E36DB" w:rsidP="007E36DB">
      <w:pPr>
        <w:pStyle w:val="Prrafodelista"/>
        <w:numPr>
          <w:ilvl w:val="0"/>
          <w:numId w:val="3"/>
        </w:numPr>
        <w:spacing w:after="0"/>
        <w:jc w:val="both"/>
      </w:pPr>
      <w:r>
        <w:rPr>
          <w:rFonts w:ascii="Cambria" w:hAnsi="Cambria"/>
        </w:rPr>
        <w:t xml:space="preserve">¿Cómo impactaron las ideas del liberalismo en Chile? </w:t>
      </w:r>
    </w:p>
    <w:p w14:paraId="39A60F02" w14:textId="3E4609FB" w:rsidR="00690428" w:rsidRDefault="00690428" w:rsidP="0069042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1:</w:t>
      </w:r>
    </w:p>
    <w:p w14:paraId="2EA66DA3" w14:textId="0D068420" w:rsidR="00690428" w:rsidRDefault="00690428" w:rsidP="0069042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“Todos los hombres son iguales, porque todos, han recibido de la naturaleza su derecho igual a la vida y al libre ejercicio y desarrollo de sus facultades físicas y morales. Pero en el orden político no pueden tener </w:t>
      </w:r>
      <w:proofErr w:type="gramStart"/>
      <w:r>
        <w:rPr>
          <w:rFonts w:ascii="Cambria" w:hAnsi="Cambria"/>
          <w:sz w:val="20"/>
          <w:szCs w:val="20"/>
        </w:rPr>
        <w:t>todos una participación igual</w:t>
      </w:r>
      <w:proofErr w:type="gramEnd"/>
      <w:r>
        <w:rPr>
          <w:rFonts w:ascii="Cambria" w:hAnsi="Cambria"/>
          <w:sz w:val="20"/>
          <w:szCs w:val="20"/>
        </w:rPr>
        <w:t>, porque el bien de la sociedad no se realiza en todo ni en parte, sino cuando los hombres que participan del poder tienen la inteligencia de las cuestiones sociales y la voluntad de resolverlas en sentido del interés general. Si en Chile ejercen el derecho electoral los gañanes y los sirvientes de las haciendas, el resultado de las elecciones será muy diferente del que daría una elección hecha por los artesanos de las ciudades y los demás ciudadanos que se hallan en posesión de las cualidades exigidas. En el primer caso, el número vencería al interés general y la elección sería de los patrones de esa multitud que no tiene voluntad propia; mientras que en el segundo nos daría la expresión libre de la voluntad nacional. Tales son los motivos que tenemos para decidirnos por el sufragio universal inteligente”.</w:t>
      </w:r>
    </w:p>
    <w:p w14:paraId="0CE6347E" w14:textId="2E6E8261" w:rsidR="00690428" w:rsidRDefault="00690428" w:rsidP="0069042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Lastarria, José y Errázuriz, Federico (1850). Bases de la Reforma.</w:t>
      </w:r>
    </w:p>
    <w:p w14:paraId="0E029379" w14:textId="18E3D071" w:rsidR="00690428" w:rsidRDefault="00690428" w:rsidP="0069042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2:</w:t>
      </w:r>
    </w:p>
    <w:p w14:paraId="4A4A6994" w14:textId="610CDB92" w:rsidR="00690428" w:rsidRDefault="00690428" w:rsidP="0069042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“A mí las cosas políticas no me interesan, pero como buen ciudadano puedo opinar con toda libertad y aún censurar los actos del Gobierno. La democracia, que tanto pregonan los ilusos, es un absurdo en los países como los americanos, llenos de vicios y donde los ciudadanos carecen de toda virtud, como es necesario para establecer una verdadera república. La monarquía no es tampoco el ideal americano: salimos de una terrible para volver a otra y ¿qué ganamos? La república es el sistema que hay que adoptar; ¿pero sabe cómo yo la entiendo para estos países? Un gobierno fuerte, centralizador, cuyos hombres sean verdaderos modelos de virtud y patriotismo, y así enderezar a los ciudadanos por el camino del orden y de las virtudes. Cuando se hayan moralizado, venga el Gobierno completamente liberal, libre y lleno de ideales, donde tengan parte todos los ciudadanos. Esto es lo que yo pienso y todo hombre de mediano criterio pensará igual”.</w:t>
      </w:r>
    </w:p>
    <w:p w14:paraId="376DC909" w14:textId="6A0BDFE1" w:rsidR="00690428" w:rsidRDefault="00690428" w:rsidP="00690428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Portales, Diego (1822). </w:t>
      </w:r>
      <w:r w:rsidRPr="00690428">
        <w:rPr>
          <w:rFonts w:ascii="Cambria" w:hAnsi="Cambria"/>
          <w:i/>
          <w:iCs/>
          <w:sz w:val="20"/>
          <w:szCs w:val="20"/>
        </w:rPr>
        <w:t>Carta a su socio y amigo José Cea</w:t>
      </w:r>
      <w:r>
        <w:rPr>
          <w:rFonts w:ascii="Cambria" w:hAnsi="Cambria"/>
          <w:sz w:val="20"/>
          <w:szCs w:val="20"/>
        </w:rPr>
        <w:t>.</w:t>
      </w:r>
    </w:p>
    <w:p w14:paraId="3A107DB4" w14:textId="77777777" w:rsidR="00B26AB2" w:rsidRDefault="00B26AB2" w:rsidP="00690428">
      <w:pPr>
        <w:spacing w:after="0"/>
        <w:jc w:val="both"/>
        <w:rPr>
          <w:rFonts w:ascii="Cambria" w:hAnsi="Cambria"/>
          <w:sz w:val="20"/>
          <w:szCs w:val="20"/>
        </w:rPr>
      </w:pPr>
    </w:p>
    <w:p w14:paraId="65DB8EF8" w14:textId="77777777" w:rsidR="00B26AB2" w:rsidRDefault="00B26AB2" w:rsidP="00690428">
      <w:pPr>
        <w:spacing w:after="0"/>
        <w:jc w:val="both"/>
        <w:rPr>
          <w:rFonts w:ascii="Cambria" w:hAnsi="Cambria"/>
          <w:sz w:val="20"/>
          <w:szCs w:val="20"/>
        </w:rPr>
      </w:pPr>
    </w:p>
    <w:p w14:paraId="6EBDD832" w14:textId="77777777" w:rsidR="00B26AB2" w:rsidRDefault="00B26AB2" w:rsidP="00690428">
      <w:pPr>
        <w:spacing w:after="0"/>
        <w:jc w:val="both"/>
        <w:rPr>
          <w:rFonts w:ascii="Cambria" w:hAnsi="Cambria"/>
          <w:sz w:val="20"/>
          <w:szCs w:val="20"/>
        </w:rPr>
      </w:pPr>
    </w:p>
    <w:p w14:paraId="72A5E8C4" w14:textId="3308AC11" w:rsidR="00690428" w:rsidRDefault="00690428" w:rsidP="0069042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3:</w:t>
      </w:r>
    </w:p>
    <w:p w14:paraId="061B2C31" w14:textId="3A9AA088" w:rsidR="00183ACC" w:rsidRDefault="00183ACC" w:rsidP="0069042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“Se me ha llamado autoritario. Entiendo el ejercicio del poder como una voluntad fuerte, directora, creadora del orden y de los deberes de la ciudadaní</w:t>
      </w:r>
      <w:r w:rsidR="00E3218E">
        <w:rPr>
          <w:rFonts w:ascii="Cambria" w:hAnsi="Cambria"/>
          <w:sz w:val="20"/>
          <w:szCs w:val="20"/>
        </w:rPr>
        <w:t>a.</w:t>
      </w:r>
    </w:p>
    <w:p w14:paraId="6E9DC6A3" w14:textId="4754DB99" w:rsidR="00E3218E" w:rsidRDefault="00E3218E" w:rsidP="00690428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Esta ciudadanía tiene mucho de inconsciente todavía y es necesario dirigida a palos. Y eso que reconozco que en este asunto hemos avanzado más que cualquier país de América. Entregar las urnas al rotaje y a la canalla, a las pasiones insanas de los partidos, con el sufragio universal encima, es el suicidio del gobernante, y yo no me suicidare por una quimera. Veo bien y me impondré para gobernar con lo mejor y apoyaré cuante ley liberal se presente para preparar el terreno de una futura democracia. Oiga bien, futura democracia”.</w:t>
      </w:r>
    </w:p>
    <w:p w14:paraId="521DA89B" w14:textId="3BC9299B" w:rsidR="00E3218E" w:rsidRDefault="00E3218E" w:rsidP="00E3218E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Santa María, Domingo (1855). </w:t>
      </w:r>
    </w:p>
    <w:p w14:paraId="5ACF75D5" w14:textId="1D25A108" w:rsidR="00E3218E" w:rsidRDefault="00E3218E" w:rsidP="00E3218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4:</w:t>
      </w:r>
    </w:p>
    <w:p w14:paraId="4A1EA7FA" w14:textId="7A6CCC17" w:rsidR="00E3218E" w:rsidRDefault="00E3218E" w:rsidP="00E3218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“Artículo 8: Son ciudadanos activos con derecho de sufragio: los chilenos que habiendo cumplido veinticinco años, si son solteros, y veintiuno, si son casados, y sabiendo leer y escribir tengan algunos de los siguientes requisitos.</w:t>
      </w:r>
    </w:p>
    <w:p w14:paraId="05C264B4" w14:textId="512BB238" w:rsidR="00E3218E" w:rsidRDefault="00E3218E" w:rsidP="00E3218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1° Una propiedad inmoble o un capital invertido en alguna especie de giro o industria.</w:t>
      </w:r>
    </w:p>
    <w:p w14:paraId="6381B2B6" w14:textId="45E1E766" w:rsidR="00E3218E" w:rsidRDefault="00E3218E" w:rsidP="00E3218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2° El ejercicio de una industria o arte, o el goce de un empleo, renta o usufructo.</w:t>
      </w:r>
    </w:p>
    <w:p w14:paraId="21B00C9B" w14:textId="4BFD9E84" w:rsidR="00E3218E" w:rsidRDefault="00E3218E" w:rsidP="00E3218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Artículo 10. Se suspende la calidad de ciudadano activo con derecho de sufragio:</w:t>
      </w:r>
    </w:p>
    <w:p w14:paraId="184841B2" w14:textId="3BA42EA4" w:rsidR="00E3218E" w:rsidRDefault="00E3218E" w:rsidP="00E3218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1° Por ineptitud física o moral que impida obrar libre y reflexivamente.</w:t>
      </w:r>
    </w:p>
    <w:p w14:paraId="5E0FDC17" w14:textId="6A438B31" w:rsidR="00E3218E" w:rsidRDefault="00E3218E" w:rsidP="00E3218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2° Por la condición de sirviente doméstico.</w:t>
      </w:r>
    </w:p>
    <w:p w14:paraId="7730DE27" w14:textId="225BD161" w:rsidR="00E3218E" w:rsidRDefault="00E3218E" w:rsidP="00E3218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3° Por la calidad de deudor al fisco constituido en mora.</w:t>
      </w:r>
    </w:p>
    <w:p w14:paraId="366F4892" w14:textId="70BBBAA7" w:rsidR="00E3218E" w:rsidRDefault="00E3218E" w:rsidP="00E3218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4° Por hallarse procesado como reo de delito que merezca pena aflictiva o infamante”.</w:t>
      </w:r>
    </w:p>
    <w:p w14:paraId="7F73EAED" w14:textId="3F601088" w:rsidR="00E3218E" w:rsidRDefault="00E3218E" w:rsidP="00E3218E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Constitución Política de Chile 1833.</w:t>
      </w:r>
    </w:p>
    <w:p w14:paraId="6AA4D1B6" w14:textId="77777777" w:rsidR="00E3218E" w:rsidRDefault="00E3218E" w:rsidP="00E3218E">
      <w:pPr>
        <w:spacing w:after="0"/>
        <w:jc w:val="both"/>
        <w:rPr>
          <w:rFonts w:ascii="Cambria" w:hAnsi="Cambria"/>
          <w:sz w:val="20"/>
          <w:szCs w:val="20"/>
        </w:rPr>
      </w:pPr>
    </w:p>
    <w:p w14:paraId="1ED72194" w14:textId="63670D0B" w:rsidR="00690428" w:rsidRDefault="00690428" w:rsidP="00690428">
      <w:pPr>
        <w:spacing w:after="0"/>
        <w:jc w:val="both"/>
        <w:rPr>
          <w:rFonts w:ascii="Cambria" w:hAnsi="Cambria"/>
          <w:sz w:val="20"/>
          <w:szCs w:val="20"/>
        </w:rPr>
      </w:pPr>
    </w:p>
    <w:p w14:paraId="490596FE" w14:textId="64989A45" w:rsidR="00690428" w:rsidRPr="00690428" w:rsidRDefault="00690428" w:rsidP="00690428">
      <w:pPr>
        <w:spacing w:after="0"/>
        <w:jc w:val="both"/>
        <w:rPr>
          <w:rFonts w:ascii="Cambria" w:hAnsi="Cambria"/>
          <w:sz w:val="20"/>
          <w:szCs w:val="20"/>
        </w:rPr>
      </w:pPr>
    </w:p>
    <w:p w14:paraId="50224012" w14:textId="77777777" w:rsidR="00A970F6" w:rsidRDefault="00A970F6"/>
    <w:sectPr w:rsidR="00A970F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3DAA3" w14:textId="77777777" w:rsidR="00063D6D" w:rsidRDefault="00063D6D" w:rsidP="00690428">
      <w:pPr>
        <w:spacing w:after="0" w:line="240" w:lineRule="auto"/>
      </w:pPr>
      <w:r>
        <w:separator/>
      </w:r>
    </w:p>
  </w:endnote>
  <w:endnote w:type="continuationSeparator" w:id="0">
    <w:p w14:paraId="66A99738" w14:textId="77777777" w:rsidR="00063D6D" w:rsidRDefault="00063D6D" w:rsidP="0069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FD93E" w14:textId="77777777" w:rsidR="00063D6D" w:rsidRDefault="00063D6D" w:rsidP="00690428">
      <w:pPr>
        <w:spacing w:after="0" w:line="240" w:lineRule="auto"/>
      </w:pPr>
      <w:r>
        <w:separator/>
      </w:r>
    </w:p>
  </w:footnote>
  <w:footnote w:type="continuationSeparator" w:id="0">
    <w:p w14:paraId="309AA43D" w14:textId="77777777" w:rsidR="00063D6D" w:rsidRDefault="00063D6D" w:rsidP="0069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E878F" w14:textId="2E3A828A" w:rsidR="00690428" w:rsidRDefault="007E36D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AA6BD2" wp14:editId="3AFA451F">
              <wp:simplePos x="0" y="0"/>
              <wp:positionH relativeFrom="column">
                <wp:posOffset>4476115</wp:posOffset>
              </wp:positionH>
              <wp:positionV relativeFrom="paragraph">
                <wp:posOffset>-165735</wp:posOffset>
              </wp:positionV>
              <wp:extent cx="1905000" cy="605790"/>
              <wp:effectExtent l="0" t="0" r="0" b="0"/>
              <wp:wrapNone/>
              <wp:docPr id="206085446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E84A70" w14:textId="77777777" w:rsidR="00690428" w:rsidRPr="00732B2B" w:rsidRDefault="00690428" w:rsidP="00690428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7F7C5D1C" w14:textId="77777777" w:rsidR="00690428" w:rsidRPr="00732B2B" w:rsidRDefault="00690428" w:rsidP="00690428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610D04BD" w14:textId="77777777" w:rsidR="00690428" w:rsidRPr="00732B2B" w:rsidRDefault="00690428" w:rsidP="00690428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1°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A6BD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2.45pt;margin-top:-13.0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" filled="f" stroked="f">
              <v:textbox style="mso-fit-shape-to-text:t">
                <w:txbxContent>
                  <w:p w14:paraId="19E84A70" w14:textId="77777777" w:rsidR="00690428" w:rsidRPr="00732B2B" w:rsidRDefault="00690428" w:rsidP="00690428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7F7C5D1C" w14:textId="77777777" w:rsidR="00690428" w:rsidRPr="00732B2B" w:rsidRDefault="00690428" w:rsidP="00690428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610D04BD" w14:textId="77777777" w:rsidR="00690428" w:rsidRPr="00732B2B" w:rsidRDefault="00690428" w:rsidP="00690428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1°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2159FD" wp14:editId="542802DB">
              <wp:simplePos x="0" y="0"/>
              <wp:positionH relativeFrom="column">
                <wp:posOffset>-509270</wp:posOffset>
              </wp:positionH>
              <wp:positionV relativeFrom="paragraph">
                <wp:posOffset>-236220</wp:posOffset>
              </wp:positionV>
              <wp:extent cx="2040890" cy="676275"/>
              <wp:effectExtent l="0" t="0" r="0" b="0"/>
              <wp:wrapNone/>
              <wp:docPr id="119559184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10CBB" w14:textId="77777777" w:rsidR="00690428" w:rsidRDefault="00690428" w:rsidP="00690428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42122C6A" w14:textId="77777777" w:rsidR="00690428" w:rsidRDefault="00690428" w:rsidP="00690428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4E3EA71D" w14:textId="77777777" w:rsidR="00690428" w:rsidRDefault="00690428" w:rsidP="00690428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4750DCE6" wp14:editId="04374EB5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2159FD" id="Cuadro de texto 1" o:spid="_x0000_s1027" type="#_x0000_t202" style="position:absolute;margin-left:-40.1pt;margin-top:-18.6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" filled="f" stroked="f">
              <v:textbox inset="0,0,0,0">
                <w:txbxContent>
                  <w:p w14:paraId="0DC10CBB" w14:textId="77777777" w:rsidR="00690428" w:rsidRDefault="00690428" w:rsidP="00690428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42122C6A" w14:textId="77777777" w:rsidR="00690428" w:rsidRDefault="00690428" w:rsidP="00690428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4E3EA71D" w14:textId="77777777" w:rsidR="00690428" w:rsidRDefault="00690428" w:rsidP="00690428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4750DCE6" wp14:editId="04374EB5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A0806"/>
    <w:multiLevelType w:val="hybridMultilevel"/>
    <w:tmpl w:val="27AC6A86"/>
    <w:lvl w:ilvl="0" w:tplc="4A68D702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ED1DF9"/>
    <w:multiLevelType w:val="hybridMultilevel"/>
    <w:tmpl w:val="1D00D4D4"/>
    <w:lvl w:ilvl="0" w:tplc="36CA5004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1403AC"/>
    <w:multiLevelType w:val="hybridMultilevel"/>
    <w:tmpl w:val="5D0E4D7E"/>
    <w:lvl w:ilvl="0" w:tplc="1C7AEC6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326323">
    <w:abstractNumId w:val="2"/>
  </w:num>
  <w:num w:numId="2" w16cid:durableId="372508065">
    <w:abstractNumId w:val="1"/>
  </w:num>
  <w:num w:numId="3" w16cid:durableId="28196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28"/>
    <w:rsid w:val="00063D6D"/>
    <w:rsid w:val="00183ACC"/>
    <w:rsid w:val="0023083E"/>
    <w:rsid w:val="004B6D70"/>
    <w:rsid w:val="005206A2"/>
    <w:rsid w:val="00690428"/>
    <w:rsid w:val="007328DD"/>
    <w:rsid w:val="007E36DB"/>
    <w:rsid w:val="00A970F6"/>
    <w:rsid w:val="00A97291"/>
    <w:rsid w:val="00B26AB2"/>
    <w:rsid w:val="00E3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535CD"/>
  <w15:chartTrackingRefBased/>
  <w15:docId w15:val="{DA6BC02B-0A9F-496C-9992-A74E6CBC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690428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690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0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04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0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04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0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0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0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0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042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042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0428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0428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0428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0428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0428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0428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0428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690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0428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690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0428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690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0428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6904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04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0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0428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69042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904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428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904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428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690428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2024-04-11T18:18:00Z</cp:lastPrinted>
  <dcterms:created xsi:type="dcterms:W3CDTF">2024-04-11T18:19:00Z</dcterms:created>
  <dcterms:modified xsi:type="dcterms:W3CDTF">2024-04-11T18:19:00Z</dcterms:modified>
</cp:coreProperties>
</file>