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B324F" w14:textId="5DC1AB3F" w:rsidR="005A7A26" w:rsidRDefault="005A7A26" w:rsidP="005A7A26">
      <w:pPr>
        <w:spacing w:after="0"/>
        <w:jc w:val="center"/>
        <w:rPr>
          <w:rFonts w:ascii="Cambria" w:hAnsi="Cambria"/>
          <w:b/>
          <w:bCs/>
          <w:sz w:val="24"/>
          <w:szCs w:val="24"/>
          <w:u w:val="single"/>
        </w:rPr>
      </w:pPr>
      <w:r>
        <w:rPr>
          <w:rFonts w:ascii="Cambria" w:hAnsi="Cambria"/>
          <w:b/>
          <w:bCs/>
          <w:sz w:val="24"/>
          <w:szCs w:val="24"/>
          <w:u w:val="single"/>
        </w:rPr>
        <w:t>TALLER 9</w:t>
      </w:r>
    </w:p>
    <w:p w14:paraId="6015FB05" w14:textId="44A5B639" w:rsidR="005A7A26" w:rsidRDefault="005A7A26" w:rsidP="005A7A26">
      <w:pPr>
        <w:jc w:val="center"/>
        <w:rPr>
          <w:rFonts w:ascii="Cambria" w:hAnsi="Cambria"/>
          <w:b/>
          <w:bCs/>
          <w:sz w:val="24"/>
          <w:szCs w:val="24"/>
          <w:u w:val="single"/>
        </w:rPr>
      </w:pPr>
      <w:r>
        <w:rPr>
          <w:rFonts w:ascii="Cambria" w:hAnsi="Cambria"/>
          <w:b/>
          <w:bCs/>
          <w:sz w:val="24"/>
          <w:szCs w:val="24"/>
          <w:u w:val="single"/>
        </w:rPr>
        <w:t>¿QUÉ DEBATES EXISTEN ENTORNO A LOS DERECHOS HUMANOS?</w:t>
      </w:r>
    </w:p>
    <w:tbl>
      <w:tblPr>
        <w:tblStyle w:val="Tablaconcuadrcula"/>
        <w:tblW w:w="0" w:type="auto"/>
        <w:tblLook w:val="04A0" w:firstRow="1" w:lastRow="0" w:firstColumn="1" w:lastColumn="0" w:noHBand="0" w:noVBand="1"/>
      </w:tblPr>
      <w:tblGrid>
        <w:gridCol w:w="2207"/>
        <w:gridCol w:w="2207"/>
        <w:gridCol w:w="2207"/>
        <w:gridCol w:w="2207"/>
      </w:tblGrid>
      <w:tr w:rsidR="005A7A26" w:rsidRPr="007B3509" w14:paraId="67FB3D0F" w14:textId="77777777" w:rsidTr="004B5A30">
        <w:tc>
          <w:tcPr>
            <w:tcW w:w="8828" w:type="dxa"/>
            <w:gridSpan w:val="4"/>
          </w:tcPr>
          <w:p w14:paraId="464BE0C8" w14:textId="77777777" w:rsidR="005A7A26" w:rsidRPr="007B3509" w:rsidRDefault="005A7A26" w:rsidP="004B5A30">
            <w:pPr>
              <w:jc w:val="both"/>
              <w:rPr>
                <w:rFonts w:ascii="Cambria" w:hAnsi="Cambria"/>
              </w:rPr>
            </w:pPr>
            <w:r w:rsidRPr="007B3509">
              <w:rPr>
                <w:rFonts w:ascii="Cambria" w:hAnsi="Cambria"/>
              </w:rPr>
              <w:t>Nombre</w:t>
            </w:r>
          </w:p>
        </w:tc>
      </w:tr>
      <w:tr w:rsidR="005A7A26" w:rsidRPr="007B3509" w14:paraId="0BA3D264" w14:textId="77777777" w:rsidTr="004B5A30">
        <w:tc>
          <w:tcPr>
            <w:tcW w:w="2207" w:type="dxa"/>
          </w:tcPr>
          <w:p w14:paraId="2C625193" w14:textId="77777777" w:rsidR="005A7A26" w:rsidRPr="007B3509" w:rsidRDefault="005A7A26" w:rsidP="004B5A30">
            <w:pPr>
              <w:jc w:val="both"/>
              <w:rPr>
                <w:rFonts w:ascii="Cambria" w:hAnsi="Cambria"/>
              </w:rPr>
            </w:pPr>
            <w:r w:rsidRPr="007B3509">
              <w:rPr>
                <w:rFonts w:ascii="Cambria" w:hAnsi="Cambria"/>
              </w:rPr>
              <w:t>Puntaje total</w:t>
            </w:r>
          </w:p>
        </w:tc>
        <w:tc>
          <w:tcPr>
            <w:tcW w:w="2207" w:type="dxa"/>
          </w:tcPr>
          <w:p w14:paraId="52E0482C" w14:textId="77777777" w:rsidR="005A7A26" w:rsidRPr="007B3509" w:rsidRDefault="005A7A26" w:rsidP="004B5A30">
            <w:pPr>
              <w:jc w:val="both"/>
              <w:rPr>
                <w:rFonts w:ascii="Cambria" w:hAnsi="Cambria"/>
              </w:rPr>
            </w:pPr>
            <w:r>
              <w:rPr>
                <w:rFonts w:ascii="Cambria" w:hAnsi="Cambria"/>
              </w:rPr>
              <w:t>20 pts.</w:t>
            </w:r>
          </w:p>
        </w:tc>
        <w:tc>
          <w:tcPr>
            <w:tcW w:w="2207" w:type="dxa"/>
          </w:tcPr>
          <w:p w14:paraId="013D9CAD" w14:textId="77777777" w:rsidR="005A7A26" w:rsidRPr="007B3509" w:rsidRDefault="005A7A26" w:rsidP="004B5A30">
            <w:pPr>
              <w:jc w:val="both"/>
              <w:rPr>
                <w:rFonts w:ascii="Cambria" w:hAnsi="Cambria"/>
              </w:rPr>
            </w:pPr>
            <w:r w:rsidRPr="007B3509">
              <w:rPr>
                <w:rFonts w:ascii="Cambria" w:hAnsi="Cambria"/>
              </w:rPr>
              <w:t>Fecha</w:t>
            </w:r>
          </w:p>
        </w:tc>
        <w:tc>
          <w:tcPr>
            <w:tcW w:w="2207" w:type="dxa"/>
          </w:tcPr>
          <w:p w14:paraId="33B04069" w14:textId="09AA11A1" w:rsidR="005A7A26" w:rsidRPr="007B3509" w:rsidRDefault="005A7A26" w:rsidP="004B5A30">
            <w:pPr>
              <w:jc w:val="both"/>
              <w:rPr>
                <w:rFonts w:ascii="Cambria" w:hAnsi="Cambria"/>
              </w:rPr>
            </w:pPr>
            <w:r>
              <w:rPr>
                <w:rFonts w:ascii="Cambria" w:hAnsi="Cambria"/>
              </w:rPr>
              <w:t>31</w:t>
            </w:r>
            <w:r w:rsidRPr="007B3509">
              <w:rPr>
                <w:rFonts w:ascii="Cambria" w:hAnsi="Cambria"/>
              </w:rPr>
              <w:t>/</w:t>
            </w:r>
            <w:r>
              <w:rPr>
                <w:rFonts w:ascii="Cambria" w:hAnsi="Cambria"/>
              </w:rPr>
              <w:t>05</w:t>
            </w:r>
            <w:r w:rsidRPr="007B3509">
              <w:rPr>
                <w:rFonts w:ascii="Cambria" w:hAnsi="Cambria"/>
              </w:rPr>
              <w:t>/202</w:t>
            </w:r>
            <w:r>
              <w:rPr>
                <w:rFonts w:ascii="Cambria" w:hAnsi="Cambria"/>
              </w:rPr>
              <w:t>3</w:t>
            </w:r>
          </w:p>
        </w:tc>
      </w:tr>
      <w:tr w:rsidR="005A7A26" w:rsidRPr="007B3509" w14:paraId="48B946FF" w14:textId="77777777" w:rsidTr="004B5A30">
        <w:tc>
          <w:tcPr>
            <w:tcW w:w="2207" w:type="dxa"/>
          </w:tcPr>
          <w:p w14:paraId="26CB07EE" w14:textId="77777777" w:rsidR="005A7A26" w:rsidRPr="007B3509" w:rsidRDefault="005A7A26" w:rsidP="004B5A30">
            <w:pPr>
              <w:jc w:val="both"/>
              <w:rPr>
                <w:rFonts w:ascii="Cambria" w:hAnsi="Cambria"/>
              </w:rPr>
            </w:pPr>
            <w:r w:rsidRPr="007B3509">
              <w:rPr>
                <w:rFonts w:ascii="Cambria" w:hAnsi="Cambria"/>
              </w:rPr>
              <w:t>Puntaje obtenido</w:t>
            </w:r>
          </w:p>
        </w:tc>
        <w:tc>
          <w:tcPr>
            <w:tcW w:w="2207" w:type="dxa"/>
          </w:tcPr>
          <w:p w14:paraId="55FBFD21" w14:textId="77777777" w:rsidR="005A7A26" w:rsidRPr="007B3509" w:rsidRDefault="005A7A26" w:rsidP="004B5A30">
            <w:pPr>
              <w:jc w:val="both"/>
              <w:rPr>
                <w:rFonts w:ascii="Cambria" w:hAnsi="Cambria"/>
              </w:rPr>
            </w:pPr>
          </w:p>
        </w:tc>
        <w:tc>
          <w:tcPr>
            <w:tcW w:w="2207" w:type="dxa"/>
          </w:tcPr>
          <w:p w14:paraId="3F2ABE02" w14:textId="77777777" w:rsidR="005A7A26" w:rsidRPr="007B3509" w:rsidRDefault="005A7A26" w:rsidP="004B5A30">
            <w:pPr>
              <w:jc w:val="both"/>
              <w:rPr>
                <w:rFonts w:ascii="Cambria" w:hAnsi="Cambria"/>
              </w:rPr>
            </w:pPr>
            <w:r w:rsidRPr="007B3509">
              <w:rPr>
                <w:rFonts w:ascii="Cambria" w:hAnsi="Cambria"/>
              </w:rPr>
              <w:t>Calificación</w:t>
            </w:r>
          </w:p>
        </w:tc>
        <w:tc>
          <w:tcPr>
            <w:tcW w:w="2207" w:type="dxa"/>
          </w:tcPr>
          <w:p w14:paraId="65C81ACE" w14:textId="77777777" w:rsidR="005A7A26" w:rsidRPr="007B3509" w:rsidRDefault="005A7A26" w:rsidP="004B5A30">
            <w:pPr>
              <w:jc w:val="both"/>
              <w:rPr>
                <w:rFonts w:ascii="Cambria" w:hAnsi="Cambria"/>
              </w:rPr>
            </w:pPr>
          </w:p>
        </w:tc>
      </w:tr>
    </w:tbl>
    <w:p w14:paraId="06E58FA3" w14:textId="79D521B7" w:rsidR="005A7A26" w:rsidRDefault="005A7A26" w:rsidP="005A7A26">
      <w:pPr>
        <w:jc w:val="both"/>
        <w:rPr>
          <w:rFonts w:ascii="Cambria" w:hAnsi="Cambria"/>
          <w:b/>
          <w:bCs/>
        </w:rPr>
      </w:pPr>
      <w:r>
        <w:rPr>
          <w:rFonts w:ascii="Cambria" w:hAnsi="Cambria"/>
          <w:b/>
          <w:bCs/>
        </w:rPr>
        <w:t>Objetivo: Explicar debates entorno a los derechos a través de fuentes para e</w:t>
      </w:r>
      <w:r w:rsidRPr="001A13CD">
        <w:rPr>
          <w:rFonts w:ascii="Cambria" w:hAnsi="Cambria"/>
          <w:b/>
          <w:bCs/>
        </w:rPr>
        <w:t>laborar interpretaciones y argumentos</w:t>
      </w:r>
      <w:r>
        <w:rPr>
          <w:rFonts w:ascii="Cambria" w:hAnsi="Cambria"/>
          <w:b/>
          <w:bCs/>
        </w:rPr>
        <w:t xml:space="preserve"> </w:t>
      </w:r>
      <w:r w:rsidRPr="001A13CD">
        <w:rPr>
          <w:rFonts w:ascii="Cambria" w:hAnsi="Cambria"/>
          <w:b/>
          <w:bCs/>
        </w:rPr>
        <w:t>basados en fuentes variadas y haciendo uso ético de la información.</w:t>
      </w:r>
    </w:p>
    <w:p w14:paraId="2FC42261" w14:textId="77777777" w:rsidR="005A7A26" w:rsidRDefault="005A7A26" w:rsidP="005A7A26">
      <w:pPr>
        <w:spacing w:after="0"/>
        <w:jc w:val="both"/>
        <w:rPr>
          <w:rFonts w:ascii="Cambria" w:hAnsi="Cambria"/>
          <w:b/>
          <w:bCs/>
        </w:rPr>
      </w:pPr>
      <w:r>
        <w:rPr>
          <w:rFonts w:ascii="Cambria" w:hAnsi="Cambria"/>
          <w:b/>
          <w:bCs/>
        </w:rPr>
        <w:t>Instrucciones:</w:t>
      </w:r>
    </w:p>
    <w:p w14:paraId="31A264BC" w14:textId="7EB9154A" w:rsidR="00AC095D" w:rsidRPr="00AC095D" w:rsidRDefault="005A7A26" w:rsidP="00AC095D">
      <w:pPr>
        <w:pStyle w:val="Prrafodelista"/>
        <w:numPr>
          <w:ilvl w:val="0"/>
          <w:numId w:val="1"/>
        </w:numPr>
        <w:spacing w:after="0"/>
        <w:jc w:val="both"/>
        <w:rPr>
          <w:rFonts w:ascii="Cambria" w:hAnsi="Cambria"/>
          <w:b/>
          <w:bCs/>
        </w:rPr>
      </w:pPr>
      <w:r w:rsidRPr="00E1748D">
        <w:rPr>
          <w:rFonts w:ascii="Cambria" w:hAnsi="Cambria"/>
        </w:rPr>
        <w:t>Lee las fuentes que se presentan y realiza las actividades</w:t>
      </w:r>
    </w:p>
    <w:p w14:paraId="5249D58D" w14:textId="02735396" w:rsidR="00AC095D" w:rsidRPr="00AC095D" w:rsidRDefault="00AC095D" w:rsidP="00AC095D">
      <w:pPr>
        <w:pStyle w:val="Prrafodelista"/>
        <w:numPr>
          <w:ilvl w:val="0"/>
          <w:numId w:val="4"/>
        </w:numPr>
        <w:spacing w:after="0"/>
        <w:jc w:val="both"/>
        <w:rPr>
          <w:rFonts w:ascii="Cambria" w:hAnsi="Cambria"/>
          <w:b/>
          <w:bCs/>
        </w:rPr>
      </w:pPr>
      <w:r>
        <w:rPr>
          <w:rFonts w:ascii="Cambria" w:hAnsi="Cambria"/>
        </w:rPr>
        <w:t>¿Qué posturas se presentan en cuanto a los derechos fundamentales en la fuente 1?, ¿cuáles son sus respectivos argumentos?</w:t>
      </w:r>
    </w:p>
    <w:p w14:paraId="2B6B0780" w14:textId="527FE157" w:rsidR="00AC095D" w:rsidRPr="00AC095D" w:rsidRDefault="00AC095D" w:rsidP="00AC095D">
      <w:pPr>
        <w:pStyle w:val="Prrafodelista"/>
        <w:numPr>
          <w:ilvl w:val="0"/>
          <w:numId w:val="4"/>
        </w:numPr>
        <w:spacing w:after="0"/>
        <w:jc w:val="both"/>
        <w:rPr>
          <w:rFonts w:ascii="Cambria" w:hAnsi="Cambria"/>
          <w:b/>
          <w:bCs/>
        </w:rPr>
      </w:pPr>
      <w:r>
        <w:rPr>
          <w:rFonts w:ascii="Cambria" w:hAnsi="Cambria"/>
        </w:rPr>
        <w:t>¿Con qué postura te identificas más?, ¿por qué?</w:t>
      </w:r>
    </w:p>
    <w:p w14:paraId="59B92737" w14:textId="7BE09DF0" w:rsidR="00AC095D" w:rsidRPr="00AC095D" w:rsidRDefault="00AC095D" w:rsidP="00AC095D">
      <w:pPr>
        <w:pStyle w:val="Prrafodelista"/>
        <w:numPr>
          <w:ilvl w:val="0"/>
          <w:numId w:val="4"/>
        </w:numPr>
        <w:spacing w:after="0"/>
        <w:jc w:val="both"/>
        <w:rPr>
          <w:rFonts w:ascii="Cambria" w:hAnsi="Cambria"/>
          <w:b/>
          <w:bCs/>
        </w:rPr>
      </w:pPr>
      <w:r>
        <w:rPr>
          <w:rFonts w:ascii="Cambria" w:hAnsi="Cambria"/>
        </w:rPr>
        <w:t>¿Qué efectos tienen para la vida cotidiana la situación planteada en la fuente 2?</w:t>
      </w:r>
    </w:p>
    <w:p w14:paraId="291256C3" w14:textId="224B592C" w:rsidR="00AC095D" w:rsidRPr="00AC095D" w:rsidRDefault="00AC095D" w:rsidP="00AC095D">
      <w:pPr>
        <w:pStyle w:val="Prrafodelista"/>
        <w:numPr>
          <w:ilvl w:val="0"/>
          <w:numId w:val="4"/>
        </w:numPr>
        <w:spacing w:after="0"/>
        <w:jc w:val="both"/>
        <w:rPr>
          <w:rFonts w:ascii="Cambria" w:hAnsi="Cambria"/>
          <w:b/>
          <w:bCs/>
        </w:rPr>
      </w:pPr>
      <w:r>
        <w:rPr>
          <w:rFonts w:ascii="Cambria" w:hAnsi="Cambria"/>
        </w:rPr>
        <w:t>En tu opinión, ¿es posible mejorar la funcionalidad de los asistentes virtuales sin vulnerar los derechos de las personas? Fundamenta</w:t>
      </w:r>
    </w:p>
    <w:tbl>
      <w:tblPr>
        <w:tblStyle w:val="Tablaconcuadrcula"/>
        <w:tblW w:w="9067" w:type="dxa"/>
        <w:tblLook w:val="04A0" w:firstRow="1" w:lastRow="0" w:firstColumn="1" w:lastColumn="0" w:noHBand="0" w:noVBand="1"/>
      </w:tblPr>
      <w:tblGrid>
        <w:gridCol w:w="6799"/>
        <w:gridCol w:w="993"/>
        <w:gridCol w:w="1275"/>
      </w:tblGrid>
      <w:tr w:rsidR="00AC095D" w14:paraId="2CE4298B" w14:textId="77777777" w:rsidTr="00CB601D">
        <w:tc>
          <w:tcPr>
            <w:tcW w:w="9067" w:type="dxa"/>
            <w:gridSpan w:val="3"/>
          </w:tcPr>
          <w:p w14:paraId="3FDD6E7B" w14:textId="77777777" w:rsidR="00AC095D" w:rsidRPr="000F4F94" w:rsidRDefault="00AC095D" w:rsidP="004B5A30">
            <w:pPr>
              <w:jc w:val="center"/>
              <w:rPr>
                <w:rFonts w:ascii="Cambria" w:hAnsi="Cambria"/>
                <w:sz w:val="20"/>
                <w:szCs w:val="20"/>
              </w:rPr>
            </w:pPr>
            <w:r w:rsidRPr="000F4F94">
              <w:rPr>
                <w:rFonts w:ascii="Cambria" w:hAnsi="Cambria"/>
                <w:sz w:val="20"/>
                <w:szCs w:val="20"/>
              </w:rPr>
              <w:t>Lista de cotejo</w:t>
            </w:r>
          </w:p>
        </w:tc>
      </w:tr>
      <w:tr w:rsidR="00AC095D" w14:paraId="7FA7B4C6" w14:textId="77777777" w:rsidTr="00CB601D">
        <w:tc>
          <w:tcPr>
            <w:tcW w:w="6799" w:type="dxa"/>
          </w:tcPr>
          <w:p w14:paraId="481A9090" w14:textId="77777777" w:rsidR="00AC095D" w:rsidRPr="000F4F94" w:rsidRDefault="00AC095D" w:rsidP="004B5A30">
            <w:pPr>
              <w:jc w:val="both"/>
              <w:rPr>
                <w:rFonts w:ascii="Cambria" w:hAnsi="Cambria"/>
                <w:sz w:val="20"/>
                <w:szCs w:val="20"/>
              </w:rPr>
            </w:pPr>
            <w:r w:rsidRPr="000F4F94">
              <w:rPr>
                <w:rFonts w:ascii="Cambria" w:hAnsi="Cambria"/>
                <w:sz w:val="20"/>
                <w:szCs w:val="20"/>
              </w:rPr>
              <w:t>Criterio</w:t>
            </w:r>
          </w:p>
        </w:tc>
        <w:tc>
          <w:tcPr>
            <w:tcW w:w="993" w:type="dxa"/>
          </w:tcPr>
          <w:p w14:paraId="3E28C0B3" w14:textId="77777777" w:rsidR="00AC095D" w:rsidRPr="000F4F94" w:rsidRDefault="00AC095D" w:rsidP="004B5A30">
            <w:pPr>
              <w:jc w:val="both"/>
              <w:rPr>
                <w:rFonts w:ascii="Cambria" w:hAnsi="Cambria"/>
                <w:sz w:val="20"/>
                <w:szCs w:val="20"/>
              </w:rPr>
            </w:pPr>
            <w:r w:rsidRPr="000F4F94">
              <w:rPr>
                <w:rFonts w:ascii="Cambria" w:hAnsi="Cambria"/>
                <w:sz w:val="20"/>
                <w:szCs w:val="20"/>
              </w:rPr>
              <w:t>Logrado</w:t>
            </w:r>
          </w:p>
        </w:tc>
        <w:tc>
          <w:tcPr>
            <w:tcW w:w="1275" w:type="dxa"/>
          </w:tcPr>
          <w:p w14:paraId="3C756B71" w14:textId="77777777" w:rsidR="00AC095D" w:rsidRPr="000F4F94" w:rsidRDefault="00AC095D" w:rsidP="004B5A30">
            <w:pPr>
              <w:jc w:val="both"/>
              <w:rPr>
                <w:rFonts w:ascii="Cambria" w:hAnsi="Cambria"/>
                <w:sz w:val="20"/>
                <w:szCs w:val="20"/>
              </w:rPr>
            </w:pPr>
            <w:r w:rsidRPr="000F4F94">
              <w:rPr>
                <w:rFonts w:ascii="Cambria" w:hAnsi="Cambria"/>
                <w:sz w:val="20"/>
                <w:szCs w:val="20"/>
              </w:rPr>
              <w:t>No Logrado</w:t>
            </w:r>
          </w:p>
        </w:tc>
      </w:tr>
      <w:tr w:rsidR="00AC095D" w14:paraId="6BDEA316" w14:textId="77777777" w:rsidTr="00CB601D">
        <w:tc>
          <w:tcPr>
            <w:tcW w:w="6799" w:type="dxa"/>
          </w:tcPr>
          <w:p w14:paraId="5FCF1141" w14:textId="77777777" w:rsidR="00AC095D" w:rsidRPr="000F4F94" w:rsidRDefault="00AC095D" w:rsidP="004B5A30">
            <w:pPr>
              <w:jc w:val="both"/>
              <w:rPr>
                <w:rFonts w:ascii="Cambria" w:hAnsi="Cambria"/>
                <w:sz w:val="20"/>
                <w:szCs w:val="20"/>
              </w:rPr>
            </w:pPr>
            <w:r w:rsidRPr="000F4F94">
              <w:rPr>
                <w:rFonts w:ascii="Cambria" w:hAnsi="Cambria"/>
                <w:sz w:val="20"/>
                <w:szCs w:val="20"/>
              </w:rPr>
              <w:t>Comprende el contenido y el sentido global de la pregunta</w:t>
            </w:r>
          </w:p>
        </w:tc>
        <w:tc>
          <w:tcPr>
            <w:tcW w:w="993" w:type="dxa"/>
          </w:tcPr>
          <w:p w14:paraId="25D5D83C" w14:textId="77777777" w:rsidR="00AC095D" w:rsidRPr="000F4F94" w:rsidRDefault="00AC095D" w:rsidP="004B5A30">
            <w:pPr>
              <w:jc w:val="both"/>
              <w:rPr>
                <w:rFonts w:ascii="Cambria" w:hAnsi="Cambria"/>
                <w:sz w:val="20"/>
                <w:szCs w:val="20"/>
              </w:rPr>
            </w:pPr>
          </w:p>
        </w:tc>
        <w:tc>
          <w:tcPr>
            <w:tcW w:w="1275" w:type="dxa"/>
          </w:tcPr>
          <w:p w14:paraId="17D545AC" w14:textId="77777777" w:rsidR="00AC095D" w:rsidRPr="000F4F94" w:rsidRDefault="00AC095D" w:rsidP="004B5A30">
            <w:pPr>
              <w:jc w:val="both"/>
              <w:rPr>
                <w:rFonts w:ascii="Cambria" w:hAnsi="Cambria"/>
                <w:sz w:val="20"/>
                <w:szCs w:val="20"/>
              </w:rPr>
            </w:pPr>
          </w:p>
        </w:tc>
      </w:tr>
      <w:tr w:rsidR="00AC095D" w14:paraId="7AFBA059" w14:textId="77777777" w:rsidTr="00CB601D">
        <w:tc>
          <w:tcPr>
            <w:tcW w:w="6799" w:type="dxa"/>
          </w:tcPr>
          <w:p w14:paraId="57236765" w14:textId="77777777" w:rsidR="00AC095D" w:rsidRPr="000F4F94" w:rsidRDefault="00AC095D" w:rsidP="004B5A30">
            <w:pPr>
              <w:jc w:val="both"/>
              <w:rPr>
                <w:rFonts w:ascii="Cambria" w:hAnsi="Cambria"/>
                <w:sz w:val="20"/>
                <w:szCs w:val="20"/>
              </w:rPr>
            </w:pPr>
            <w:r w:rsidRPr="000F4F94">
              <w:rPr>
                <w:rFonts w:ascii="Cambria" w:hAnsi="Cambria"/>
                <w:sz w:val="20"/>
                <w:szCs w:val="20"/>
              </w:rPr>
              <w:t>Plantea sus opiniones, pensamientos y comentarios con claridad</w:t>
            </w:r>
          </w:p>
        </w:tc>
        <w:tc>
          <w:tcPr>
            <w:tcW w:w="993" w:type="dxa"/>
          </w:tcPr>
          <w:p w14:paraId="044276D2" w14:textId="77777777" w:rsidR="00AC095D" w:rsidRPr="000F4F94" w:rsidRDefault="00AC095D" w:rsidP="004B5A30">
            <w:pPr>
              <w:jc w:val="both"/>
              <w:rPr>
                <w:rFonts w:ascii="Cambria" w:hAnsi="Cambria"/>
                <w:sz w:val="20"/>
                <w:szCs w:val="20"/>
              </w:rPr>
            </w:pPr>
          </w:p>
        </w:tc>
        <w:tc>
          <w:tcPr>
            <w:tcW w:w="1275" w:type="dxa"/>
          </w:tcPr>
          <w:p w14:paraId="04D503B3" w14:textId="77777777" w:rsidR="00AC095D" w:rsidRPr="000F4F94" w:rsidRDefault="00AC095D" w:rsidP="004B5A30">
            <w:pPr>
              <w:jc w:val="both"/>
              <w:rPr>
                <w:rFonts w:ascii="Cambria" w:hAnsi="Cambria"/>
                <w:sz w:val="20"/>
                <w:szCs w:val="20"/>
              </w:rPr>
            </w:pPr>
          </w:p>
        </w:tc>
      </w:tr>
      <w:tr w:rsidR="00AC095D" w14:paraId="489EC409" w14:textId="77777777" w:rsidTr="00CB601D">
        <w:tc>
          <w:tcPr>
            <w:tcW w:w="6799" w:type="dxa"/>
          </w:tcPr>
          <w:p w14:paraId="22436A9F" w14:textId="77777777" w:rsidR="00AC095D" w:rsidRPr="000F4F94" w:rsidRDefault="00AC095D" w:rsidP="004B5A30">
            <w:pPr>
              <w:jc w:val="both"/>
              <w:rPr>
                <w:rFonts w:ascii="Cambria" w:hAnsi="Cambria"/>
                <w:sz w:val="20"/>
                <w:szCs w:val="20"/>
              </w:rPr>
            </w:pPr>
            <w:r w:rsidRPr="000F4F94">
              <w:rPr>
                <w:rFonts w:ascii="Cambria" w:hAnsi="Cambria"/>
                <w:sz w:val="20"/>
                <w:szCs w:val="20"/>
              </w:rPr>
              <w:t>Da ejemplo que apoyan su postura</w:t>
            </w:r>
          </w:p>
        </w:tc>
        <w:tc>
          <w:tcPr>
            <w:tcW w:w="993" w:type="dxa"/>
          </w:tcPr>
          <w:p w14:paraId="0F5E2C02" w14:textId="77777777" w:rsidR="00AC095D" w:rsidRPr="000F4F94" w:rsidRDefault="00AC095D" w:rsidP="004B5A30">
            <w:pPr>
              <w:jc w:val="both"/>
              <w:rPr>
                <w:rFonts w:ascii="Cambria" w:hAnsi="Cambria"/>
                <w:sz w:val="20"/>
                <w:szCs w:val="20"/>
              </w:rPr>
            </w:pPr>
          </w:p>
        </w:tc>
        <w:tc>
          <w:tcPr>
            <w:tcW w:w="1275" w:type="dxa"/>
          </w:tcPr>
          <w:p w14:paraId="2ACAFED4" w14:textId="77777777" w:rsidR="00AC095D" w:rsidRPr="000F4F94" w:rsidRDefault="00AC095D" w:rsidP="004B5A30">
            <w:pPr>
              <w:jc w:val="both"/>
              <w:rPr>
                <w:rFonts w:ascii="Cambria" w:hAnsi="Cambria"/>
                <w:sz w:val="20"/>
                <w:szCs w:val="20"/>
              </w:rPr>
            </w:pPr>
          </w:p>
        </w:tc>
      </w:tr>
      <w:tr w:rsidR="00AC095D" w14:paraId="11D0C6E0" w14:textId="77777777" w:rsidTr="00CB601D">
        <w:tc>
          <w:tcPr>
            <w:tcW w:w="6799" w:type="dxa"/>
          </w:tcPr>
          <w:p w14:paraId="0DD36FE1" w14:textId="77777777" w:rsidR="00AC095D" w:rsidRPr="000F4F94" w:rsidRDefault="00AC095D" w:rsidP="004B5A30">
            <w:pPr>
              <w:jc w:val="both"/>
              <w:rPr>
                <w:rFonts w:ascii="Cambria" w:hAnsi="Cambria"/>
                <w:sz w:val="20"/>
                <w:szCs w:val="20"/>
              </w:rPr>
            </w:pPr>
            <w:r w:rsidRPr="000F4F94">
              <w:rPr>
                <w:rFonts w:ascii="Cambria" w:hAnsi="Cambria"/>
                <w:sz w:val="20"/>
                <w:szCs w:val="20"/>
              </w:rPr>
              <w:t>Se basa en información presente en la fuente o la pregunta y la enriquece con idas proveniente de sus conocimientos o experiencias previas</w:t>
            </w:r>
          </w:p>
        </w:tc>
        <w:tc>
          <w:tcPr>
            <w:tcW w:w="993" w:type="dxa"/>
          </w:tcPr>
          <w:p w14:paraId="0377BFB7" w14:textId="77777777" w:rsidR="00AC095D" w:rsidRPr="000F4F94" w:rsidRDefault="00AC095D" w:rsidP="004B5A30">
            <w:pPr>
              <w:jc w:val="both"/>
              <w:rPr>
                <w:rFonts w:ascii="Cambria" w:hAnsi="Cambria"/>
                <w:sz w:val="20"/>
                <w:szCs w:val="20"/>
              </w:rPr>
            </w:pPr>
          </w:p>
        </w:tc>
        <w:tc>
          <w:tcPr>
            <w:tcW w:w="1275" w:type="dxa"/>
          </w:tcPr>
          <w:p w14:paraId="24029311" w14:textId="77777777" w:rsidR="00AC095D" w:rsidRPr="000F4F94" w:rsidRDefault="00AC095D" w:rsidP="004B5A30">
            <w:pPr>
              <w:jc w:val="both"/>
              <w:rPr>
                <w:rFonts w:ascii="Cambria" w:hAnsi="Cambria"/>
                <w:sz w:val="20"/>
                <w:szCs w:val="20"/>
              </w:rPr>
            </w:pPr>
          </w:p>
        </w:tc>
      </w:tr>
    </w:tbl>
    <w:p w14:paraId="0D2A781D" w14:textId="77777777" w:rsidR="00AC095D" w:rsidRPr="00AC095D" w:rsidRDefault="00AC095D" w:rsidP="00AC095D">
      <w:pPr>
        <w:spacing w:after="0"/>
        <w:jc w:val="both"/>
        <w:rPr>
          <w:rFonts w:ascii="Cambria" w:hAnsi="Cambria"/>
          <w:b/>
          <w:bCs/>
        </w:rPr>
      </w:pPr>
    </w:p>
    <w:p w14:paraId="16C67BFD" w14:textId="003349F2" w:rsidR="005A7A26" w:rsidRDefault="005A7A26" w:rsidP="005A7A26">
      <w:pPr>
        <w:spacing w:after="0"/>
        <w:jc w:val="both"/>
        <w:rPr>
          <w:rFonts w:ascii="Cambria" w:hAnsi="Cambria"/>
          <w:sz w:val="20"/>
          <w:szCs w:val="20"/>
        </w:rPr>
      </w:pPr>
      <w:r>
        <w:rPr>
          <w:rFonts w:ascii="Cambria" w:hAnsi="Cambria"/>
          <w:sz w:val="20"/>
          <w:szCs w:val="20"/>
        </w:rPr>
        <w:t>Fuente 1:</w:t>
      </w:r>
    </w:p>
    <w:p w14:paraId="0A7DE041" w14:textId="1C515B2D" w:rsidR="005A7A26" w:rsidRDefault="005A7A26" w:rsidP="005A7A26">
      <w:pPr>
        <w:spacing w:after="0"/>
        <w:jc w:val="both"/>
        <w:rPr>
          <w:rFonts w:ascii="Cambria" w:hAnsi="Cambria"/>
          <w:sz w:val="20"/>
          <w:szCs w:val="20"/>
        </w:rPr>
      </w:pPr>
      <w:r>
        <w:rPr>
          <w:rFonts w:ascii="Cambria" w:hAnsi="Cambria"/>
          <w:sz w:val="20"/>
          <w:szCs w:val="20"/>
        </w:rPr>
        <w:t>“Un intenso debate se ha desarrollado debido al avance en el Congreso Nacional del proyecto de ley que busca sancionar a quienes justifiquen, aprueben o nieguen las violaciones a los derechos humanos ocurridas durante la dictadura y que hayan sido acreditadas por instancias formales del Estado.</w:t>
      </w:r>
    </w:p>
    <w:p w14:paraId="0861EA2D" w14:textId="2302C241" w:rsidR="005A7A26" w:rsidRDefault="005A7A26" w:rsidP="005A7A26">
      <w:pPr>
        <w:spacing w:after="0"/>
        <w:jc w:val="both"/>
        <w:rPr>
          <w:rFonts w:ascii="Cambria" w:hAnsi="Cambria"/>
          <w:sz w:val="20"/>
          <w:szCs w:val="20"/>
        </w:rPr>
      </w:pPr>
      <w:r>
        <w:rPr>
          <w:rFonts w:ascii="Cambria" w:hAnsi="Cambria"/>
          <w:sz w:val="20"/>
          <w:szCs w:val="20"/>
        </w:rPr>
        <w:t>Para algunos, la iniciativa impulsada por la diputada del PC, Carmen Hertz, choca con la libertad de expresión, mientras que otros justifican la penalización de este tipo de conductas.</w:t>
      </w:r>
    </w:p>
    <w:p w14:paraId="0CC612FF" w14:textId="3514FFDA" w:rsidR="005A7A26" w:rsidRDefault="005A7A26" w:rsidP="005A7A26">
      <w:pPr>
        <w:spacing w:after="0"/>
        <w:jc w:val="both"/>
        <w:rPr>
          <w:rFonts w:ascii="Cambria" w:hAnsi="Cambria"/>
          <w:sz w:val="20"/>
          <w:szCs w:val="20"/>
        </w:rPr>
      </w:pPr>
      <w:r>
        <w:rPr>
          <w:rFonts w:ascii="Cambria" w:hAnsi="Cambria"/>
          <w:sz w:val="20"/>
          <w:szCs w:val="20"/>
        </w:rPr>
        <w:t>El rector de la Universidad Diego Portales y columnista de El Mercurio, Carlos Peña, manifestó su rechazo al proyecto argumentando que ‘si se hace callar de esa forma a quienes niegan las violaciones a los DD.HH., no solo la libertad de expresión se vería amagada o inhibida, sino que también la propia causa de los DD.HH. aparecería perjudicada’. ‘La libertad de expresión, que no hay que olvidar es también un derecho humano, sufriría un desmedro’, añadió.</w:t>
      </w:r>
    </w:p>
    <w:p w14:paraId="27F596E5" w14:textId="54BF52F8" w:rsidR="005A7A26" w:rsidRDefault="005A7A26" w:rsidP="005A7A26">
      <w:pPr>
        <w:spacing w:after="0"/>
        <w:jc w:val="both"/>
        <w:rPr>
          <w:rFonts w:ascii="Cambria" w:hAnsi="Cambria"/>
          <w:sz w:val="20"/>
          <w:szCs w:val="20"/>
        </w:rPr>
      </w:pPr>
      <w:r>
        <w:rPr>
          <w:rFonts w:ascii="Cambria" w:hAnsi="Cambria"/>
          <w:sz w:val="20"/>
          <w:szCs w:val="20"/>
        </w:rPr>
        <w:t xml:space="preserve">Por otra parte, el diputado de Revolución Democrática, Miguel </w:t>
      </w:r>
      <w:proofErr w:type="spellStart"/>
      <w:r>
        <w:rPr>
          <w:rFonts w:ascii="Cambria" w:hAnsi="Cambria"/>
          <w:sz w:val="20"/>
          <w:szCs w:val="20"/>
        </w:rPr>
        <w:t>Crispi</w:t>
      </w:r>
      <w:proofErr w:type="spellEnd"/>
      <w:r>
        <w:rPr>
          <w:rFonts w:ascii="Cambria" w:hAnsi="Cambria"/>
          <w:sz w:val="20"/>
          <w:szCs w:val="20"/>
        </w:rPr>
        <w:t>, justificó la necesidad de contar con una iniciativa de este tipo en el país. ‘Se ha dicho que el derecho a la libertad de expresión se vulnera y que éste es fundamental para el funcionamiento de una sociedad democrática. Este derecho tiene rango constitucional y consagración internacional, pero no es un derecho absoluto y puede ser limitado legítimamente como lo indican tratados internacionales”.</w:t>
      </w:r>
    </w:p>
    <w:p w14:paraId="628904BC" w14:textId="46C18E92" w:rsidR="005A7A26" w:rsidRDefault="005A7A26" w:rsidP="005A7A26">
      <w:pPr>
        <w:spacing w:after="0"/>
        <w:jc w:val="both"/>
        <w:rPr>
          <w:rFonts w:ascii="Cambria" w:hAnsi="Cambria"/>
          <w:sz w:val="20"/>
          <w:szCs w:val="20"/>
        </w:rPr>
      </w:pPr>
      <w:r>
        <w:rPr>
          <w:rFonts w:ascii="Cambria" w:hAnsi="Cambria"/>
          <w:sz w:val="20"/>
          <w:szCs w:val="20"/>
        </w:rPr>
        <w:t xml:space="preserve">‘La libertad de expresión puede estar sujeta a restricciones legitimas para asegurar, entre otros, el respeto a los derechos o a la reputación de los demás. Las expresiones que </w:t>
      </w:r>
      <w:r w:rsidR="00D04258">
        <w:rPr>
          <w:rFonts w:ascii="Cambria" w:hAnsi="Cambria"/>
          <w:sz w:val="20"/>
          <w:szCs w:val="20"/>
        </w:rPr>
        <w:t>justifican</w:t>
      </w:r>
      <w:r>
        <w:rPr>
          <w:rFonts w:ascii="Cambria" w:hAnsi="Cambria"/>
          <w:sz w:val="20"/>
          <w:szCs w:val="20"/>
        </w:rPr>
        <w:t xml:space="preserve"> aprueban o niegan las violaciones a los derechos humanos ocurridas en la dictadura afectan a la sociedad en su conjunto y, por supuesto, a las víctimas directas y sus familiares’, destacó.</w:t>
      </w:r>
    </w:p>
    <w:p w14:paraId="0FCE000D" w14:textId="7519283E" w:rsidR="005A7A26" w:rsidRDefault="005A7A26" w:rsidP="005A7A26">
      <w:pPr>
        <w:spacing w:after="0"/>
        <w:jc w:val="both"/>
        <w:rPr>
          <w:rFonts w:ascii="Cambria" w:hAnsi="Cambria"/>
          <w:sz w:val="20"/>
          <w:szCs w:val="20"/>
        </w:rPr>
      </w:pPr>
      <w:r>
        <w:rPr>
          <w:rFonts w:ascii="Cambria" w:hAnsi="Cambria"/>
          <w:sz w:val="20"/>
          <w:szCs w:val="20"/>
        </w:rPr>
        <w:t xml:space="preserve">En esa línea, advirtió que ‘cuando estas expresiones se validan en la sociedad existe una revictimización de </w:t>
      </w:r>
      <w:r w:rsidR="00D04258">
        <w:rPr>
          <w:rFonts w:ascii="Cambria" w:hAnsi="Cambria"/>
          <w:sz w:val="20"/>
          <w:szCs w:val="20"/>
        </w:rPr>
        <w:t xml:space="preserve">sus derechos que no podemos tolerar. Es discutible si los discursos de odio se deben sancionar con privación de libertad, pero no se debe olvidar que el derecho actual ya sanciona con cárcel otros tipos de </w:t>
      </w:r>
      <w:r w:rsidR="00D04258">
        <w:rPr>
          <w:rFonts w:ascii="Cambria" w:hAnsi="Cambria"/>
          <w:sz w:val="20"/>
          <w:szCs w:val="20"/>
        </w:rPr>
        <w:lastRenderedPageBreak/>
        <w:t>discursos, por ejemplo, la calumnia, como la injuria, la que puede ser penada hasta por 540 días de cárcel”.</w:t>
      </w:r>
    </w:p>
    <w:p w14:paraId="08143DCB" w14:textId="1FAC39B1" w:rsidR="00544F91" w:rsidRDefault="00544F91" w:rsidP="00544F91">
      <w:pPr>
        <w:spacing w:after="0"/>
        <w:jc w:val="right"/>
        <w:rPr>
          <w:rFonts w:ascii="Cambria" w:hAnsi="Cambria"/>
          <w:sz w:val="20"/>
          <w:szCs w:val="20"/>
        </w:rPr>
      </w:pPr>
      <w:proofErr w:type="spellStart"/>
      <w:r>
        <w:rPr>
          <w:rFonts w:ascii="Cambria" w:hAnsi="Cambria"/>
          <w:sz w:val="20"/>
          <w:szCs w:val="20"/>
        </w:rPr>
        <w:t>Emol</w:t>
      </w:r>
      <w:proofErr w:type="spellEnd"/>
      <w:r>
        <w:rPr>
          <w:rFonts w:ascii="Cambria" w:hAnsi="Cambria"/>
          <w:sz w:val="20"/>
          <w:szCs w:val="20"/>
        </w:rPr>
        <w:t xml:space="preserve"> (28 de diciembre de 2018). </w:t>
      </w:r>
      <w:r w:rsidRPr="00544F91">
        <w:rPr>
          <w:rFonts w:ascii="Cambria" w:hAnsi="Cambria"/>
          <w:i/>
          <w:iCs/>
          <w:sz w:val="20"/>
          <w:szCs w:val="20"/>
        </w:rPr>
        <w:t>Negacionismo versus libertad de expresión</w:t>
      </w:r>
      <w:r>
        <w:rPr>
          <w:rFonts w:ascii="Cambria" w:hAnsi="Cambria"/>
          <w:sz w:val="20"/>
          <w:szCs w:val="20"/>
        </w:rPr>
        <w:t>.</w:t>
      </w:r>
    </w:p>
    <w:p w14:paraId="599512C7" w14:textId="6B0F7851" w:rsidR="00544F91" w:rsidRDefault="00544F91" w:rsidP="00544F91">
      <w:pPr>
        <w:spacing w:after="0"/>
        <w:jc w:val="both"/>
        <w:rPr>
          <w:rFonts w:ascii="Cambria" w:hAnsi="Cambria"/>
          <w:sz w:val="20"/>
          <w:szCs w:val="20"/>
        </w:rPr>
      </w:pPr>
      <w:r>
        <w:rPr>
          <w:rFonts w:ascii="Cambria" w:hAnsi="Cambria"/>
          <w:sz w:val="20"/>
          <w:szCs w:val="20"/>
        </w:rPr>
        <w:t>Fuente 2:</w:t>
      </w:r>
    </w:p>
    <w:p w14:paraId="605AF997" w14:textId="0993487B" w:rsidR="00544F91" w:rsidRDefault="00544F91" w:rsidP="00544F91">
      <w:pPr>
        <w:spacing w:after="0"/>
        <w:jc w:val="both"/>
        <w:rPr>
          <w:rFonts w:ascii="Cambria" w:hAnsi="Cambria"/>
          <w:sz w:val="20"/>
          <w:szCs w:val="20"/>
        </w:rPr>
      </w:pPr>
      <w:r>
        <w:rPr>
          <w:rFonts w:ascii="Cambria" w:hAnsi="Cambria"/>
          <w:sz w:val="20"/>
          <w:szCs w:val="20"/>
        </w:rPr>
        <w:t>“Los medios de comunicación, y con ellos los ciudadanos, han percibido con alarma la existencia de aplicaciones móviles que ‘escuchan’ y empleados que revisan conversaciones de asistentes virtuales.</w:t>
      </w:r>
    </w:p>
    <w:p w14:paraId="6618E9FC" w14:textId="49986582" w:rsidR="00544F91" w:rsidRDefault="00544F91" w:rsidP="00544F91">
      <w:pPr>
        <w:spacing w:after="0"/>
        <w:jc w:val="both"/>
        <w:rPr>
          <w:rFonts w:ascii="Cambria" w:hAnsi="Cambria"/>
          <w:sz w:val="20"/>
          <w:szCs w:val="20"/>
        </w:rPr>
      </w:pPr>
      <w:r>
        <w:rPr>
          <w:rFonts w:ascii="Cambria" w:hAnsi="Cambria"/>
          <w:sz w:val="20"/>
          <w:szCs w:val="20"/>
        </w:rPr>
        <w:t xml:space="preserve">Los procesos de inteligencia artificial (IA) traducen al idioma de las máquinas el lenguaje natural para tomar decisiones. La IA debe ser capaz de reconocer una voz, identificar el idioma, atribuir un significado, considerar el contexto y aislar interferencias. Su entrenamiento es fundamental. Pero ¿cómo la enfrentamos? ¿Debe escuchar a un ser humano? La respuesta parece ser afirmativa y el modo en que dicha tarea se realice </w:t>
      </w:r>
      <w:r w:rsidR="004423DF">
        <w:rPr>
          <w:rFonts w:ascii="Cambria" w:hAnsi="Cambria"/>
          <w:sz w:val="20"/>
          <w:szCs w:val="20"/>
        </w:rPr>
        <w:t>exige un diseño muy preciso.</w:t>
      </w:r>
    </w:p>
    <w:p w14:paraId="699EA098" w14:textId="7F460535" w:rsidR="004423DF" w:rsidRDefault="004423DF" w:rsidP="00544F91">
      <w:pPr>
        <w:spacing w:after="0"/>
        <w:jc w:val="both"/>
        <w:rPr>
          <w:rFonts w:ascii="Cambria" w:hAnsi="Cambria"/>
          <w:sz w:val="20"/>
          <w:szCs w:val="20"/>
        </w:rPr>
      </w:pPr>
      <w:r>
        <w:rPr>
          <w:rFonts w:ascii="Cambria" w:hAnsi="Cambria"/>
          <w:sz w:val="20"/>
          <w:szCs w:val="20"/>
        </w:rPr>
        <w:t>¿Qué derechos se vulneran?</w:t>
      </w:r>
    </w:p>
    <w:p w14:paraId="681F54C4" w14:textId="1277B848" w:rsidR="004423DF" w:rsidRDefault="004423DF" w:rsidP="00544F91">
      <w:pPr>
        <w:spacing w:after="0"/>
        <w:jc w:val="both"/>
        <w:rPr>
          <w:rFonts w:ascii="Cambria" w:hAnsi="Cambria"/>
          <w:sz w:val="20"/>
          <w:szCs w:val="20"/>
        </w:rPr>
      </w:pPr>
      <w:r>
        <w:rPr>
          <w:rFonts w:ascii="Cambria" w:hAnsi="Cambria"/>
          <w:sz w:val="20"/>
          <w:szCs w:val="20"/>
        </w:rPr>
        <w:t>El hecho de que un asistente ‘escuche’ puede repercutir, al menos, en los siguientes derechos</w:t>
      </w:r>
    </w:p>
    <w:p w14:paraId="1250BBBC" w14:textId="52378D5A" w:rsidR="004423DF" w:rsidRDefault="004423DF" w:rsidP="004423DF">
      <w:pPr>
        <w:pStyle w:val="Prrafodelista"/>
        <w:numPr>
          <w:ilvl w:val="0"/>
          <w:numId w:val="2"/>
        </w:numPr>
        <w:spacing w:after="0"/>
        <w:jc w:val="both"/>
        <w:rPr>
          <w:rFonts w:ascii="Cambria" w:hAnsi="Cambria"/>
          <w:sz w:val="20"/>
          <w:szCs w:val="20"/>
        </w:rPr>
      </w:pPr>
      <w:r>
        <w:rPr>
          <w:rFonts w:ascii="Cambria" w:hAnsi="Cambria"/>
          <w:sz w:val="20"/>
          <w:szCs w:val="20"/>
        </w:rPr>
        <w:t>Intimidad. Por ejemplo, encargar la compra a un asistente revelará hábitos</w:t>
      </w:r>
      <w:r w:rsidR="00E16C6B">
        <w:rPr>
          <w:rFonts w:ascii="Cambria" w:hAnsi="Cambria"/>
          <w:sz w:val="20"/>
          <w:szCs w:val="20"/>
        </w:rPr>
        <w:t xml:space="preserve"> alimentarios, costumbres y rutinas e, incluso aspectos de la vida sexual.</w:t>
      </w:r>
    </w:p>
    <w:p w14:paraId="21A8D260" w14:textId="4D97E064" w:rsidR="00E16C6B" w:rsidRDefault="00E16C6B" w:rsidP="004423DF">
      <w:pPr>
        <w:pStyle w:val="Prrafodelista"/>
        <w:numPr>
          <w:ilvl w:val="0"/>
          <w:numId w:val="2"/>
        </w:numPr>
        <w:spacing w:after="0"/>
        <w:jc w:val="both"/>
        <w:rPr>
          <w:rFonts w:ascii="Cambria" w:hAnsi="Cambria"/>
          <w:sz w:val="20"/>
          <w:szCs w:val="20"/>
        </w:rPr>
      </w:pPr>
      <w:r>
        <w:rPr>
          <w:rFonts w:ascii="Cambria" w:hAnsi="Cambria"/>
          <w:sz w:val="20"/>
          <w:szCs w:val="20"/>
        </w:rPr>
        <w:t>Secreto de las comunicaciones. Si el asistente vocal se usa para componer y remitir un mensaje, la información debería estar protegida por secreto de las comunicaciones.</w:t>
      </w:r>
    </w:p>
    <w:p w14:paraId="41EF1421" w14:textId="710AC4AC" w:rsidR="00E16C6B" w:rsidRDefault="00E16C6B" w:rsidP="004423DF">
      <w:pPr>
        <w:pStyle w:val="Prrafodelista"/>
        <w:numPr>
          <w:ilvl w:val="0"/>
          <w:numId w:val="2"/>
        </w:numPr>
        <w:spacing w:after="0"/>
        <w:jc w:val="both"/>
        <w:rPr>
          <w:rFonts w:ascii="Cambria" w:hAnsi="Cambria"/>
          <w:sz w:val="20"/>
          <w:szCs w:val="20"/>
        </w:rPr>
      </w:pPr>
      <w:r>
        <w:rPr>
          <w:rFonts w:ascii="Cambria" w:hAnsi="Cambria"/>
          <w:sz w:val="20"/>
          <w:szCs w:val="20"/>
        </w:rPr>
        <w:t>¿Inviolabilidad del domicilio? Cuando un asistente o aplicación se conecta desde un domicilio sin autorización del usuario, ¿se vulnera la inviolabilidad del domicilio?</w:t>
      </w:r>
    </w:p>
    <w:p w14:paraId="253FB7EF" w14:textId="4393E93F" w:rsidR="00E16C6B" w:rsidRDefault="00E16C6B" w:rsidP="004423DF">
      <w:pPr>
        <w:pStyle w:val="Prrafodelista"/>
        <w:numPr>
          <w:ilvl w:val="0"/>
          <w:numId w:val="2"/>
        </w:numPr>
        <w:spacing w:after="0"/>
        <w:jc w:val="both"/>
        <w:rPr>
          <w:rFonts w:ascii="Cambria" w:hAnsi="Cambria"/>
          <w:sz w:val="20"/>
          <w:szCs w:val="20"/>
        </w:rPr>
      </w:pPr>
      <w:r>
        <w:rPr>
          <w:rFonts w:ascii="Cambria" w:hAnsi="Cambria"/>
          <w:sz w:val="20"/>
          <w:szCs w:val="20"/>
        </w:rPr>
        <w:t>Otros derechos. Si nos centramos en el contenido de la información, el riesgo escuchando secretos empresariales”.</w:t>
      </w:r>
    </w:p>
    <w:p w14:paraId="5B5E98FD" w14:textId="68FFBEAA" w:rsidR="00E16C6B" w:rsidRPr="00E16C6B" w:rsidRDefault="00E16C6B" w:rsidP="00AC095D">
      <w:pPr>
        <w:spacing w:after="0"/>
        <w:jc w:val="right"/>
        <w:rPr>
          <w:rFonts w:ascii="Cambria" w:hAnsi="Cambria"/>
          <w:sz w:val="20"/>
          <w:szCs w:val="20"/>
        </w:rPr>
      </w:pPr>
      <w:proofErr w:type="spellStart"/>
      <w:r w:rsidRPr="00E16C6B">
        <w:rPr>
          <w:rFonts w:ascii="Cambria" w:hAnsi="Cambria"/>
          <w:sz w:val="20"/>
          <w:szCs w:val="20"/>
        </w:rPr>
        <w:t>The</w:t>
      </w:r>
      <w:proofErr w:type="spellEnd"/>
      <w:r w:rsidRPr="00E16C6B">
        <w:rPr>
          <w:rFonts w:ascii="Cambria" w:hAnsi="Cambria"/>
          <w:sz w:val="20"/>
          <w:szCs w:val="20"/>
        </w:rPr>
        <w:t xml:space="preserve"> </w:t>
      </w:r>
      <w:proofErr w:type="spellStart"/>
      <w:r w:rsidRPr="00E16C6B">
        <w:rPr>
          <w:rFonts w:ascii="Cambria" w:hAnsi="Cambria"/>
          <w:sz w:val="20"/>
          <w:szCs w:val="20"/>
        </w:rPr>
        <w:t>conversation</w:t>
      </w:r>
      <w:proofErr w:type="spellEnd"/>
      <w:r w:rsidRPr="00E16C6B">
        <w:rPr>
          <w:rFonts w:ascii="Cambria" w:hAnsi="Cambria"/>
          <w:sz w:val="20"/>
          <w:szCs w:val="20"/>
        </w:rPr>
        <w:t xml:space="preserve"> (</w:t>
      </w:r>
      <w:r w:rsidR="00AC095D">
        <w:rPr>
          <w:rFonts w:ascii="Cambria" w:hAnsi="Cambria"/>
          <w:sz w:val="20"/>
          <w:szCs w:val="20"/>
        </w:rPr>
        <w:t xml:space="preserve">5 de septiembre de 2019). </w:t>
      </w:r>
      <w:r w:rsidR="00AC095D" w:rsidRPr="00AC095D">
        <w:rPr>
          <w:rFonts w:ascii="Cambria" w:hAnsi="Cambria"/>
          <w:i/>
          <w:iCs/>
          <w:sz w:val="20"/>
          <w:szCs w:val="20"/>
        </w:rPr>
        <w:t>Asistentes virtuales y derechos de las personas</w:t>
      </w:r>
      <w:r w:rsidR="00AC095D">
        <w:rPr>
          <w:rFonts w:ascii="Cambria" w:hAnsi="Cambria"/>
          <w:sz w:val="20"/>
          <w:szCs w:val="20"/>
        </w:rPr>
        <w:t>.</w:t>
      </w:r>
    </w:p>
    <w:p w14:paraId="06DA35D3" w14:textId="77777777" w:rsidR="004423DF" w:rsidRDefault="004423DF" w:rsidP="00544F91">
      <w:pPr>
        <w:spacing w:after="0"/>
        <w:jc w:val="both"/>
        <w:rPr>
          <w:noProof/>
        </w:rPr>
      </w:pPr>
    </w:p>
    <w:p w14:paraId="2E9AFF3D" w14:textId="7F5761EB" w:rsidR="00544F91" w:rsidRDefault="00544F91" w:rsidP="00544F91">
      <w:pPr>
        <w:spacing w:after="0"/>
        <w:jc w:val="both"/>
        <w:rPr>
          <w:rFonts w:ascii="Cambria" w:hAnsi="Cambria"/>
          <w:sz w:val="20"/>
          <w:szCs w:val="20"/>
        </w:rPr>
      </w:pPr>
    </w:p>
    <w:p w14:paraId="3E4B47E5" w14:textId="198053E9" w:rsidR="005A7A26" w:rsidRPr="005A7A26" w:rsidRDefault="005A7A26" w:rsidP="005A7A26">
      <w:pPr>
        <w:spacing w:after="0"/>
        <w:jc w:val="both"/>
        <w:rPr>
          <w:rFonts w:ascii="Cambria" w:hAnsi="Cambria"/>
          <w:sz w:val="20"/>
          <w:szCs w:val="20"/>
        </w:rPr>
      </w:pPr>
    </w:p>
    <w:p w14:paraId="155B2342" w14:textId="77777777" w:rsidR="00A970F6" w:rsidRDefault="00A970F6"/>
    <w:sectPr w:rsidR="00A970F6" w:rsidSect="00763BD3">
      <w:headerReference w:type="default" r:id="rId7"/>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4D7C98" w14:textId="77777777" w:rsidR="00763BD3" w:rsidRDefault="00763BD3" w:rsidP="005A7A26">
      <w:pPr>
        <w:spacing w:after="0" w:line="240" w:lineRule="auto"/>
      </w:pPr>
      <w:r>
        <w:separator/>
      </w:r>
    </w:p>
  </w:endnote>
  <w:endnote w:type="continuationSeparator" w:id="0">
    <w:p w14:paraId="063A33C0" w14:textId="77777777" w:rsidR="00763BD3" w:rsidRDefault="00763BD3" w:rsidP="005A7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B8F9A" w14:textId="77777777" w:rsidR="00763BD3" w:rsidRDefault="00763BD3" w:rsidP="005A7A26">
      <w:pPr>
        <w:spacing w:after="0" w:line="240" w:lineRule="auto"/>
      </w:pPr>
      <w:r>
        <w:separator/>
      </w:r>
    </w:p>
  </w:footnote>
  <w:footnote w:type="continuationSeparator" w:id="0">
    <w:p w14:paraId="1E642D76" w14:textId="77777777" w:rsidR="00763BD3" w:rsidRDefault="00763BD3" w:rsidP="005A7A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B9ED0" w14:textId="24F320D0" w:rsidR="005A7A26" w:rsidRDefault="00AC095D">
    <w:pPr>
      <w:pStyle w:val="Encabezado"/>
    </w:pPr>
    <w:r>
      <w:rPr>
        <w:noProof/>
      </w:rPr>
      <mc:AlternateContent>
        <mc:Choice Requires="wps">
          <w:drawing>
            <wp:anchor distT="0" distB="0" distL="114300" distR="114300" simplePos="0" relativeHeight="251661312" behindDoc="0" locked="0" layoutInCell="1" allowOverlap="1" wp14:anchorId="44ECCADD" wp14:editId="2F6A8814">
              <wp:simplePos x="0" y="0"/>
              <wp:positionH relativeFrom="column">
                <wp:posOffset>4403725</wp:posOffset>
              </wp:positionH>
              <wp:positionV relativeFrom="paragraph">
                <wp:posOffset>-34925</wp:posOffset>
              </wp:positionV>
              <wp:extent cx="1905000" cy="476885"/>
              <wp:effectExtent l="0" t="0" r="0" b="0"/>
              <wp:wrapNone/>
              <wp:docPr id="70926456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476885"/>
                      </a:xfrm>
                      <a:prstGeom prst="rect">
                        <a:avLst/>
                      </a:prstGeom>
                      <a:noFill/>
                    </wps:spPr>
                    <wps:txbx>
                      <w:txbxContent>
                        <w:p w14:paraId="4F9DD9C3" w14:textId="77777777" w:rsidR="005A7A26" w:rsidRPr="00732B2B" w:rsidRDefault="005A7A26" w:rsidP="005A7A26">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w:t>
                          </w:r>
                          <w:r>
                            <w:rPr>
                              <w:rFonts w:ascii="Cambria" w:hAnsi="Cambria"/>
                              <w:color w:val="000000" w:themeColor="text1"/>
                              <w:kern w:val="24"/>
                              <w:sz w:val="16"/>
                              <w:szCs w:val="16"/>
                            </w:rPr>
                            <w:t>Educación Ciudadana.</w:t>
                          </w:r>
                          <w:r w:rsidRPr="00732B2B">
                            <w:rPr>
                              <w:rFonts w:ascii="Cambria" w:hAnsi="Cambria"/>
                              <w:color w:val="000000" w:themeColor="text1"/>
                              <w:kern w:val="24"/>
                              <w:sz w:val="16"/>
                              <w:szCs w:val="16"/>
                            </w:rPr>
                            <w:t xml:space="preserve"> </w:t>
                          </w:r>
                        </w:p>
                        <w:p w14:paraId="75B7EE45" w14:textId="77777777" w:rsidR="005A7A26" w:rsidRPr="00732B2B" w:rsidRDefault="005A7A26" w:rsidP="005A7A26">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2C3CC481" w14:textId="77777777" w:rsidR="005A7A26" w:rsidRPr="00732B2B" w:rsidRDefault="005A7A26" w:rsidP="005A7A26">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3° Medio</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44ECCADD" id="_x0000_t202" coordsize="21600,21600" o:spt="202" path="m,l,21600r21600,l21600,xe">
              <v:stroke joinstyle="miter"/>
              <v:path gradientshapeok="t" o:connecttype="rect"/>
            </v:shapetype>
            <v:shape id="Cuadro de texto 2" o:spid="_x0000_s1026" type="#_x0000_t202" style="position:absolute;margin-left:346.75pt;margin-top:-2.75pt;width:150pt;height:3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" filled="f" stroked="f">
              <v:textbox style="mso-fit-shape-to-text:t">
                <w:txbxContent>
                  <w:p w14:paraId="4F9DD9C3" w14:textId="77777777" w:rsidR="005A7A26" w:rsidRPr="00732B2B" w:rsidRDefault="005A7A26" w:rsidP="005A7A26">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w:t>
                    </w:r>
                    <w:r>
                      <w:rPr>
                        <w:rFonts w:ascii="Cambria" w:hAnsi="Cambria"/>
                        <w:color w:val="000000" w:themeColor="text1"/>
                        <w:kern w:val="24"/>
                        <w:sz w:val="16"/>
                        <w:szCs w:val="16"/>
                      </w:rPr>
                      <w:t>Educación Ciudadana.</w:t>
                    </w:r>
                    <w:r w:rsidRPr="00732B2B">
                      <w:rPr>
                        <w:rFonts w:ascii="Cambria" w:hAnsi="Cambria"/>
                        <w:color w:val="000000" w:themeColor="text1"/>
                        <w:kern w:val="24"/>
                        <w:sz w:val="16"/>
                        <w:szCs w:val="16"/>
                      </w:rPr>
                      <w:t xml:space="preserve"> </w:t>
                    </w:r>
                  </w:p>
                  <w:p w14:paraId="75B7EE45" w14:textId="77777777" w:rsidR="005A7A26" w:rsidRPr="00732B2B" w:rsidRDefault="005A7A26" w:rsidP="005A7A26">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2C3CC481" w14:textId="77777777" w:rsidR="005A7A26" w:rsidRPr="00732B2B" w:rsidRDefault="005A7A26" w:rsidP="005A7A26">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3° Medio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13A7AA6" wp14:editId="64FF6693">
              <wp:simplePos x="0" y="0"/>
              <wp:positionH relativeFrom="column">
                <wp:posOffset>-511810</wp:posOffset>
              </wp:positionH>
              <wp:positionV relativeFrom="paragraph">
                <wp:posOffset>-234315</wp:posOffset>
              </wp:positionV>
              <wp:extent cx="2040890" cy="676275"/>
              <wp:effectExtent l="0" t="0" r="0" b="0"/>
              <wp:wrapNone/>
              <wp:docPr id="478589397"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wps:spPr>
                    <wps:txbx>
                      <w:txbxContent>
                        <w:p w14:paraId="71215F33" w14:textId="77777777" w:rsidR="005A7A26" w:rsidRDefault="005A7A26" w:rsidP="005A7A26">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284E2EA0" w14:textId="77777777" w:rsidR="005A7A26" w:rsidRDefault="005A7A26" w:rsidP="005A7A26">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5A5F76C8" w14:textId="77777777" w:rsidR="005A7A26" w:rsidRDefault="005A7A26" w:rsidP="005A7A26">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4F9256CC" wp14:editId="3C18B184">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13A7AA6" id="Cuadro de texto 1" o:spid="_x0000_s1027" type="#_x0000_t202" style="position:absolute;margin-left:-40.3pt;margin-top:-18.45pt;width:160.7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" filled="f" stroked="f">
              <v:textbox inset="0,0,0,0">
                <w:txbxContent>
                  <w:p w14:paraId="71215F33" w14:textId="77777777" w:rsidR="005A7A26" w:rsidRDefault="005A7A26" w:rsidP="005A7A26">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284E2EA0" w14:textId="77777777" w:rsidR="005A7A26" w:rsidRDefault="005A7A26" w:rsidP="005A7A26">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5A5F76C8" w14:textId="77777777" w:rsidR="005A7A26" w:rsidRDefault="005A7A26" w:rsidP="005A7A26">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4F9256CC" wp14:editId="3C18B184">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45806"/>
    <w:multiLevelType w:val="hybridMultilevel"/>
    <w:tmpl w:val="9056D636"/>
    <w:lvl w:ilvl="0" w:tplc="810C3E76">
      <w:start w:val="1"/>
      <w:numFmt w:val="decimal"/>
      <w:lvlText w:val="%1)"/>
      <w:lvlJc w:val="left"/>
      <w:pPr>
        <w:ind w:left="1080" w:hanging="360"/>
      </w:pPr>
      <w:rPr>
        <w:rFonts w:hint="default"/>
        <w:b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15:restartNumberingAfterBreak="0">
    <w:nsid w:val="4EB257B1"/>
    <w:multiLevelType w:val="hybridMultilevel"/>
    <w:tmpl w:val="0E648442"/>
    <w:lvl w:ilvl="0" w:tplc="C9183EAE">
      <w:numFmt w:val="bullet"/>
      <w:lvlText w:val="-"/>
      <w:lvlJc w:val="left"/>
      <w:pPr>
        <w:ind w:left="720" w:hanging="360"/>
      </w:pPr>
      <w:rPr>
        <w:rFonts w:ascii="Cambria" w:eastAsiaTheme="minorHAnsi" w:hAnsi="Cambri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51154BF8"/>
    <w:multiLevelType w:val="hybridMultilevel"/>
    <w:tmpl w:val="17E634F8"/>
    <w:lvl w:ilvl="0" w:tplc="97CA8ED6">
      <w:start w:val="1"/>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691A4DF2"/>
    <w:multiLevelType w:val="hybridMultilevel"/>
    <w:tmpl w:val="25081F76"/>
    <w:lvl w:ilvl="0" w:tplc="2752FFE8">
      <w:start w:val="1"/>
      <w:numFmt w:val="decimal"/>
      <w:lvlText w:val="%1)"/>
      <w:lvlJc w:val="left"/>
      <w:pPr>
        <w:ind w:left="1080" w:hanging="360"/>
      </w:pPr>
      <w:rPr>
        <w:rFonts w:hint="default"/>
        <w:b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16cid:durableId="79527623">
    <w:abstractNumId w:val="1"/>
  </w:num>
  <w:num w:numId="2" w16cid:durableId="1153373256">
    <w:abstractNumId w:val="2"/>
  </w:num>
  <w:num w:numId="3" w16cid:durableId="266235442">
    <w:abstractNumId w:val="0"/>
  </w:num>
  <w:num w:numId="4" w16cid:durableId="17097194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A26"/>
    <w:rsid w:val="004423DF"/>
    <w:rsid w:val="004B6D70"/>
    <w:rsid w:val="005206A2"/>
    <w:rsid w:val="00544F91"/>
    <w:rsid w:val="005A7A26"/>
    <w:rsid w:val="007328DD"/>
    <w:rsid w:val="00763BD3"/>
    <w:rsid w:val="009C4ED7"/>
    <w:rsid w:val="00A970F6"/>
    <w:rsid w:val="00AC095D"/>
    <w:rsid w:val="00CB601D"/>
    <w:rsid w:val="00D04258"/>
    <w:rsid w:val="00E16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D1B6A"/>
  <w15:chartTrackingRefBased/>
  <w15:docId w15:val="{4251DF2F-5F95-4FBE-948A-E19D4CF25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m"/>
    <w:qFormat/>
    <w:rsid w:val="005A7A26"/>
    <w:rPr>
      <w:kern w:val="0"/>
      <w:lang w:val="es-CL"/>
    </w:rPr>
  </w:style>
  <w:style w:type="paragraph" w:styleId="Ttulo1">
    <w:name w:val="heading 1"/>
    <w:basedOn w:val="Normal"/>
    <w:next w:val="Normal"/>
    <w:link w:val="Ttulo1Car"/>
    <w:uiPriority w:val="9"/>
    <w:qFormat/>
    <w:rsid w:val="005A7A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A7A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A7A2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A7A2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A7A2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A7A2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A7A2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A7A2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A7A2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A7A26"/>
    <w:rPr>
      <w:rFonts w:asciiTheme="majorHAnsi" w:eastAsiaTheme="majorEastAsia" w:hAnsiTheme="majorHAnsi" w:cstheme="majorBidi"/>
      <w:color w:val="0F4761" w:themeColor="accent1" w:themeShade="BF"/>
      <w:kern w:val="0"/>
      <w:sz w:val="40"/>
      <w:szCs w:val="40"/>
      <w:lang w:val="es-CL"/>
    </w:rPr>
  </w:style>
  <w:style w:type="character" w:customStyle="1" w:styleId="Ttulo2Car">
    <w:name w:val="Título 2 Car"/>
    <w:basedOn w:val="Fuentedeprrafopredeter"/>
    <w:link w:val="Ttulo2"/>
    <w:uiPriority w:val="9"/>
    <w:semiHidden/>
    <w:rsid w:val="005A7A26"/>
    <w:rPr>
      <w:rFonts w:asciiTheme="majorHAnsi" w:eastAsiaTheme="majorEastAsia" w:hAnsiTheme="majorHAnsi" w:cstheme="majorBidi"/>
      <w:color w:val="0F4761" w:themeColor="accent1" w:themeShade="BF"/>
      <w:kern w:val="0"/>
      <w:sz w:val="32"/>
      <w:szCs w:val="32"/>
      <w:lang w:val="es-CL"/>
    </w:rPr>
  </w:style>
  <w:style w:type="character" w:customStyle="1" w:styleId="Ttulo3Car">
    <w:name w:val="Título 3 Car"/>
    <w:basedOn w:val="Fuentedeprrafopredeter"/>
    <w:link w:val="Ttulo3"/>
    <w:uiPriority w:val="9"/>
    <w:semiHidden/>
    <w:rsid w:val="005A7A26"/>
    <w:rPr>
      <w:rFonts w:eastAsiaTheme="majorEastAsia" w:cstheme="majorBidi"/>
      <w:color w:val="0F4761" w:themeColor="accent1" w:themeShade="BF"/>
      <w:kern w:val="0"/>
      <w:sz w:val="28"/>
      <w:szCs w:val="28"/>
      <w:lang w:val="es-CL"/>
    </w:rPr>
  </w:style>
  <w:style w:type="character" w:customStyle="1" w:styleId="Ttulo4Car">
    <w:name w:val="Título 4 Car"/>
    <w:basedOn w:val="Fuentedeprrafopredeter"/>
    <w:link w:val="Ttulo4"/>
    <w:uiPriority w:val="9"/>
    <w:semiHidden/>
    <w:rsid w:val="005A7A26"/>
    <w:rPr>
      <w:rFonts w:eastAsiaTheme="majorEastAsia" w:cstheme="majorBidi"/>
      <w:i/>
      <w:iCs/>
      <w:color w:val="0F4761" w:themeColor="accent1" w:themeShade="BF"/>
      <w:kern w:val="0"/>
      <w:lang w:val="es-CL"/>
    </w:rPr>
  </w:style>
  <w:style w:type="character" w:customStyle="1" w:styleId="Ttulo5Car">
    <w:name w:val="Título 5 Car"/>
    <w:basedOn w:val="Fuentedeprrafopredeter"/>
    <w:link w:val="Ttulo5"/>
    <w:uiPriority w:val="9"/>
    <w:semiHidden/>
    <w:rsid w:val="005A7A26"/>
    <w:rPr>
      <w:rFonts w:eastAsiaTheme="majorEastAsia" w:cstheme="majorBidi"/>
      <w:color w:val="0F4761" w:themeColor="accent1" w:themeShade="BF"/>
      <w:kern w:val="0"/>
      <w:lang w:val="es-CL"/>
    </w:rPr>
  </w:style>
  <w:style w:type="character" w:customStyle="1" w:styleId="Ttulo6Car">
    <w:name w:val="Título 6 Car"/>
    <w:basedOn w:val="Fuentedeprrafopredeter"/>
    <w:link w:val="Ttulo6"/>
    <w:uiPriority w:val="9"/>
    <w:semiHidden/>
    <w:rsid w:val="005A7A26"/>
    <w:rPr>
      <w:rFonts w:eastAsiaTheme="majorEastAsia" w:cstheme="majorBidi"/>
      <w:i/>
      <w:iCs/>
      <w:color w:val="595959" w:themeColor="text1" w:themeTint="A6"/>
      <w:kern w:val="0"/>
      <w:lang w:val="es-CL"/>
    </w:rPr>
  </w:style>
  <w:style w:type="character" w:customStyle="1" w:styleId="Ttulo7Car">
    <w:name w:val="Título 7 Car"/>
    <w:basedOn w:val="Fuentedeprrafopredeter"/>
    <w:link w:val="Ttulo7"/>
    <w:uiPriority w:val="9"/>
    <w:semiHidden/>
    <w:rsid w:val="005A7A26"/>
    <w:rPr>
      <w:rFonts w:eastAsiaTheme="majorEastAsia" w:cstheme="majorBidi"/>
      <w:color w:val="595959" w:themeColor="text1" w:themeTint="A6"/>
      <w:kern w:val="0"/>
      <w:lang w:val="es-CL"/>
    </w:rPr>
  </w:style>
  <w:style w:type="character" w:customStyle="1" w:styleId="Ttulo8Car">
    <w:name w:val="Título 8 Car"/>
    <w:basedOn w:val="Fuentedeprrafopredeter"/>
    <w:link w:val="Ttulo8"/>
    <w:uiPriority w:val="9"/>
    <w:semiHidden/>
    <w:rsid w:val="005A7A26"/>
    <w:rPr>
      <w:rFonts w:eastAsiaTheme="majorEastAsia" w:cstheme="majorBidi"/>
      <w:i/>
      <w:iCs/>
      <w:color w:val="272727" w:themeColor="text1" w:themeTint="D8"/>
      <w:kern w:val="0"/>
      <w:lang w:val="es-CL"/>
    </w:rPr>
  </w:style>
  <w:style w:type="character" w:customStyle="1" w:styleId="Ttulo9Car">
    <w:name w:val="Título 9 Car"/>
    <w:basedOn w:val="Fuentedeprrafopredeter"/>
    <w:link w:val="Ttulo9"/>
    <w:uiPriority w:val="9"/>
    <w:semiHidden/>
    <w:rsid w:val="005A7A26"/>
    <w:rPr>
      <w:rFonts w:eastAsiaTheme="majorEastAsia" w:cstheme="majorBidi"/>
      <w:color w:val="272727" w:themeColor="text1" w:themeTint="D8"/>
      <w:kern w:val="0"/>
      <w:lang w:val="es-CL"/>
    </w:rPr>
  </w:style>
  <w:style w:type="paragraph" w:styleId="Ttulo">
    <w:name w:val="Title"/>
    <w:basedOn w:val="Normal"/>
    <w:next w:val="Normal"/>
    <w:link w:val="TtuloCar"/>
    <w:uiPriority w:val="10"/>
    <w:qFormat/>
    <w:rsid w:val="005A7A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A7A26"/>
    <w:rPr>
      <w:rFonts w:asciiTheme="majorHAnsi" w:eastAsiaTheme="majorEastAsia" w:hAnsiTheme="majorHAnsi" w:cstheme="majorBidi"/>
      <w:spacing w:val="-10"/>
      <w:kern w:val="28"/>
      <w:sz w:val="56"/>
      <w:szCs w:val="56"/>
      <w:lang w:val="es-CL"/>
    </w:rPr>
  </w:style>
  <w:style w:type="paragraph" w:styleId="Subttulo">
    <w:name w:val="Subtitle"/>
    <w:basedOn w:val="Normal"/>
    <w:next w:val="Normal"/>
    <w:link w:val="SubttuloCar"/>
    <w:uiPriority w:val="11"/>
    <w:qFormat/>
    <w:rsid w:val="005A7A2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A7A26"/>
    <w:rPr>
      <w:rFonts w:eastAsiaTheme="majorEastAsia" w:cstheme="majorBidi"/>
      <w:color w:val="595959" w:themeColor="text1" w:themeTint="A6"/>
      <w:spacing w:val="15"/>
      <w:kern w:val="0"/>
      <w:sz w:val="28"/>
      <w:szCs w:val="28"/>
      <w:lang w:val="es-CL"/>
    </w:rPr>
  </w:style>
  <w:style w:type="paragraph" w:styleId="Cita">
    <w:name w:val="Quote"/>
    <w:basedOn w:val="Normal"/>
    <w:next w:val="Normal"/>
    <w:link w:val="CitaCar"/>
    <w:uiPriority w:val="29"/>
    <w:qFormat/>
    <w:rsid w:val="005A7A26"/>
    <w:pPr>
      <w:spacing w:before="160"/>
      <w:jc w:val="center"/>
    </w:pPr>
    <w:rPr>
      <w:i/>
      <w:iCs/>
      <w:color w:val="404040" w:themeColor="text1" w:themeTint="BF"/>
    </w:rPr>
  </w:style>
  <w:style w:type="character" w:customStyle="1" w:styleId="CitaCar">
    <w:name w:val="Cita Car"/>
    <w:basedOn w:val="Fuentedeprrafopredeter"/>
    <w:link w:val="Cita"/>
    <w:uiPriority w:val="29"/>
    <w:rsid w:val="005A7A26"/>
    <w:rPr>
      <w:rFonts w:ascii="Cambria" w:hAnsi="Cambria"/>
      <w:i/>
      <w:iCs/>
      <w:color w:val="404040" w:themeColor="text1" w:themeTint="BF"/>
      <w:kern w:val="0"/>
      <w:lang w:val="es-CL"/>
    </w:rPr>
  </w:style>
  <w:style w:type="paragraph" w:styleId="Prrafodelista">
    <w:name w:val="List Paragraph"/>
    <w:basedOn w:val="Normal"/>
    <w:uiPriority w:val="34"/>
    <w:qFormat/>
    <w:rsid w:val="005A7A26"/>
    <w:pPr>
      <w:ind w:left="720"/>
      <w:contextualSpacing/>
    </w:pPr>
  </w:style>
  <w:style w:type="character" w:styleId="nfasisintenso">
    <w:name w:val="Intense Emphasis"/>
    <w:basedOn w:val="Fuentedeprrafopredeter"/>
    <w:uiPriority w:val="21"/>
    <w:qFormat/>
    <w:rsid w:val="005A7A26"/>
    <w:rPr>
      <w:i/>
      <w:iCs/>
      <w:color w:val="0F4761" w:themeColor="accent1" w:themeShade="BF"/>
    </w:rPr>
  </w:style>
  <w:style w:type="paragraph" w:styleId="Citadestacada">
    <w:name w:val="Intense Quote"/>
    <w:basedOn w:val="Normal"/>
    <w:next w:val="Normal"/>
    <w:link w:val="CitadestacadaCar"/>
    <w:uiPriority w:val="30"/>
    <w:qFormat/>
    <w:rsid w:val="005A7A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A7A26"/>
    <w:rPr>
      <w:rFonts w:ascii="Cambria" w:hAnsi="Cambria"/>
      <w:i/>
      <w:iCs/>
      <w:color w:val="0F4761" w:themeColor="accent1" w:themeShade="BF"/>
      <w:kern w:val="0"/>
      <w:lang w:val="es-CL"/>
    </w:rPr>
  </w:style>
  <w:style w:type="character" w:styleId="Referenciaintensa">
    <w:name w:val="Intense Reference"/>
    <w:basedOn w:val="Fuentedeprrafopredeter"/>
    <w:uiPriority w:val="32"/>
    <w:qFormat/>
    <w:rsid w:val="005A7A26"/>
    <w:rPr>
      <w:b/>
      <w:bCs/>
      <w:smallCaps/>
      <w:color w:val="0F4761" w:themeColor="accent1" w:themeShade="BF"/>
      <w:spacing w:val="5"/>
    </w:rPr>
  </w:style>
  <w:style w:type="paragraph" w:styleId="Encabezado">
    <w:name w:val="header"/>
    <w:basedOn w:val="Normal"/>
    <w:link w:val="EncabezadoCar"/>
    <w:uiPriority w:val="99"/>
    <w:unhideWhenUsed/>
    <w:rsid w:val="005A7A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7A26"/>
    <w:rPr>
      <w:rFonts w:ascii="Cambria" w:hAnsi="Cambria"/>
      <w:kern w:val="0"/>
      <w:lang w:val="es-CL"/>
    </w:rPr>
  </w:style>
  <w:style w:type="paragraph" w:styleId="Piedepgina">
    <w:name w:val="footer"/>
    <w:basedOn w:val="Normal"/>
    <w:link w:val="PiedepginaCar"/>
    <w:uiPriority w:val="99"/>
    <w:unhideWhenUsed/>
    <w:rsid w:val="005A7A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7A26"/>
    <w:rPr>
      <w:rFonts w:ascii="Cambria" w:hAnsi="Cambria"/>
      <w:kern w:val="0"/>
      <w:lang w:val="es-CL"/>
    </w:rPr>
  </w:style>
  <w:style w:type="table" w:styleId="Tablaconcuadrcula">
    <w:name w:val="Table Grid"/>
    <w:basedOn w:val="Tablanormal"/>
    <w:uiPriority w:val="39"/>
    <w:rsid w:val="005A7A26"/>
    <w:pPr>
      <w:spacing w:after="0" w:line="240" w:lineRule="auto"/>
    </w:pPr>
    <w:rPr>
      <w:kern w:val="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757</Words>
  <Characters>4164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FELIPE SANTIBÁÑEZ CID</dc:creator>
  <cp:keywords/>
  <dc:description/>
  <cp:lastModifiedBy>pablo espinosa perez</cp:lastModifiedBy>
  <cp:revision>2</cp:revision>
  <cp:lastPrinted>2024-05-06T20:14:00Z</cp:lastPrinted>
  <dcterms:created xsi:type="dcterms:W3CDTF">2024-05-06T20:15:00Z</dcterms:created>
  <dcterms:modified xsi:type="dcterms:W3CDTF">2024-05-06T20:15:00Z</dcterms:modified>
</cp:coreProperties>
</file>