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DDC22" w14:textId="67E69079" w:rsidR="005720F6" w:rsidRDefault="005720F6" w:rsidP="005720F6">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21</w:t>
      </w:r>
    </w:p>
    <w:p w14:paraId="0DB2CCA9" w14:textId="1E1A8FB6" w:rsidR="005720F6" w:rsidRPr="00BD5D09" w:rsidRDefault="005720F6" w:rsidP="005720F6">
      <w:pPr>
        <w:jc w:val="center"/>
        <w:rPr>
          <w:rFonts w:ascii="Cambria" w:hAnsi="Cambria"/>
          <w:b/>
          <w:bCs/>
          <w:u w:val="single"/>
        </w:rPr>
      </w:pPr>
      <w:r>
        <w:rPr>
          <w:rFonts w:ascii="Cambria" w:hAnsi="Cambria"/>
          <w:b/>
          <w:bCs/>
          <w:u w:val="single"/>
        </w:rPr>
        <w:t>¿QUÉ IMPACTO TUVO LA REVOLUCIÓN INDUSTRIAL EN LA ECONOMÍA?</w:t>
      </w:r>
    </w:p>
    <w:tbl>
      <w:tblPr>
        <w:tblStyle w:val="Tablaconcuadrcula"/>
        <w:tblW w:w="0" w:type="auto"/>
        <w:tblLook w:val="04A0" w:firstRow="1" w:lastRow="0" w:firstColumn="1" w:lastColumn="0" w:noHBand="0" w:noVBand="1"/>
      </w:tblPr>
      <w:tblGrid>
        <w:gridCol w:w="1696"/>
        <w:gridCol w:w="7132"/>
      </w:tblGrid>
      <w:tr w:rsidR="005720F6" w:rsidRPr="00BD5D09" w14:paraId="42E38B1C" w14:textId="77777777" w:rsidTr="003F6E54">
        <w:tc>
          <w:tcPr>
            <w:tcW w:w="1696" w:type="dxa"/>
          </w:tcPr>
          <w:p w14:paraId="1F622DBD" w14:textId="77777777" w:rsidR="005720F6" w:rsidRPr="00BD5D09" w:rsidRDefault="005720F6" w:rsidP="003F6E54">
            <w:pPr>
              <w:jc w:val="both"/>
              <w:rPr>
                <w:rFonts w:ascii="Cambria" w:hAnsi="Cambria"/>
                <w:sz w:val="20"/>
                <w:szCs w:val="20"/>
              </w:rPr>
            </w:pPr>
            <w:r w:rsidRPr="00BD5D09">
              <w:rPr>
                <w:rFonts w:ascii="Cambria" w:hAnsi="Cambria"/>
                <w:sz w:val="20"/>
                <w:szCs w:val="20"/>
              </w:rPr>
              <w:t>Nombre</w:t>
            </w:r>
          </w:p>
        </w:tc>
        <w:tc>
          <w:tcPr>
            <w:tcW w:w="7132" w:type="dxa"/>
          </w:tcPr>
          <w:p w14:paraId="148163EF" w14:textId="77777777" w:rsidR="005720F6" w:rsidRPr="00BD5D09" w:rsidRDefault="005720F6" w:rsidP="003F6E54">
            <w:pPr>
              <w:jc w:val="both"/>
              <w:rPr>
                <w:rFonts w:ascii="Cambria" w:hAnsi="Cambria"/>
                <w:sz w:val="20"/>
                <w:szCs w:val="20"/>
              </w:rPr>
            </w:pPr>
          </w:p>
        </w:tc>
      </w:tr>
      <w:tr w:rsidR="005720F6" w:rsidRPr="00BD5D09" w14:paraId="514FE6E3" w14:textId="77777777" w:rsidTr="003F6E54">
        <w:tc>
          <w:tcPr>
            <w:tcW w:w="1696" w:type="dxa"/>
          </w:tcPr>
          <w:p w14:paraId="2E5C8F5C" w14:textId="77777777" w:rsidR="005720F6" w:rsidRPr="00BD5D09" w:rsidRDefault="005720F6" w:rsidP="003F6E54">
            <w:pPr>
              <w:jc w:val="both"/>
              <w:rPr>
                <w:rFonts w:ascii="Cambria" w:hAnsi="Cambria"/>
                <w:sz w:val="20"/>
                <w:szCs w:val="20"/>
              </w:rPr>
            </w:pPr>
            <w:r w:rsidRPr="00BD5D09">
              <w:rPr>
                <w:rFonts w:ascii="Cambria" w:hAnsi="Cambria"/>
                <w:sz w:val="20"/>
                <w:szCs w:val="20"/>
              </w:rPr>
              <w:t>Fecha</w:t>
            </w:r>
          </w:p>
        </w:tc>
        <w:tc>
          <w:tcPr>
            <w:tcW w:w="7132" w:type="dxa"/>
          </w:tcPr>
          <w:p w14:paraId="2FF47C43" w14:textId="5C089B78" w:rsidR="005720F6" w:rsidRPr="00BD5D09" w:rsidRDefault="005720F6" w:rsidP="003F6E54">
            <w:pPr>
              <w:jc w:val="both"/>
              <w:rPr>
                <w:rFonts w:ascii="Cambria" w:hAnsi="Cambria"/>
                <w:sz w:val="20"/>
                <w:szCs w:val="20"/>
              </w:rPr>
            </w:pPr>
            <w:r>
              <w:rPr>
                <w:rFonts w:ascii="Cambria" w:hAnsi="Cambria"/>
                <w:sz w:val="20"/>
                <w:szCs w:val="20"/>
              </w:rPr>
              <w:t>25-07-2024</w:t>
            </w:r>
          </w:p>
        </w:tc>
      </w:tr>
    </w:tbl>
    <w:p w14:paraId="0159766C" w14:textId="7B1D1882" w:rsidR="005720F6" w:rsidRPr="0004627A" w:rsidRDefault="005720F6" w:rsidP="005720F6">
      <w:pPr>
        <w:spacing w:before="240"/>
        <w:jc w:val="both"/>
        <w:rPr>
          <w:rFonts w:ascii="Cambria" w:hAnsi="Cambria"/>
          <w:b/>
          <w:bCs/>
        </w:rPr>
      </w:pPr>
      <w:r w:rsidRPr="0004627A">
        <w:rPr>
          <w:rFonts w:ascii="Cambria" w:hAnsi="Cambria"/>
          <w:b/>
          <w:bCs/>
        </w:rPr>
        <w:t xml:space="preserve">Objetivo: </w:t>
      </w:r>
      <w:r>
        <w:rPr>
          <w:rFonts w:ascii="Cambria" w:hAnsi="Cambria"/>
          <w:b/>
          <w:bCs/>
        </w:rPr>
        <w:t>Caracterizar el impacto de la revolución industrial en la economía a través de fuentes para participar asumiendo posturas razonadas</w:t>
      </w:r>
    </w:p>
    <w:p w14:paraId="6020CC8C" w14:textId="77777777" w:rsidR="005720F6" w:rsidRPr="0004627A" w:rsidRDefault="005720F6" w:rsidP="005720F6">
      <w:pPr>
        <w:spacing w:after="0"/>
        <w:jc w:val="both"/>
        <w:rPr>
          <w:rFonts w:ascii="Cambria" w:hAnsi="Cambria"/>
          <w:b/>
          <w:bCs/>
        </w:rPr>
      </w:pPr>
      <w:r w:rsidRPr="0004627A">
        <w:rPr>
          <w:rFonts w:ascii="Cambria" w:hAnsi="Cambria"/>
          <w:b/>
          <w:bCs/>
        </w:rPr>
        <w:t>Instrucciones:</w:t>
      </w:r>
    </w:p>
    <w:p w14:paraId="6554035B" w14:textId="605712FD" w:rsidR="005720F6" w:rsidRPr="005720F6" w:rsidRDefault="005720F6" w:rsidP="005720F6">
      <w:pPr>
        <w:pStyle w:val="Prrafodelista"/>
        <w:numPr>
          <w:ilvl w:val="0"/>
          <w:numId w:val="1"/>
        </w:numPr>
        <w:spacing w:after="0"/>
        <w:jc w:val="both"/>
      </w:pPr>
      <w:r w:rsidRPr="00422C01">
        <w:rPr>
          <w:rFonts w:ascii="Cambria" w:hAnsi="Cambria"/>
        </w:rPr>
        <w:t xml:space="preserve">En parejas </w:t>
      </w:r>
      <w:r>
        <w:rPr>
          <w:rFonts w:ascii="Cambria" w:hAnsi="Cambria"/>
        </w:rPr>
        <w:t>lean las fuentes y realicen las actividades</w:t>
      </w:r>
    </w:p>
    <w:p w14:paraId="53B08C33" w14:textId="0E2DFE8D" w:rsidR="005720F6" w:rsidRPr="005720F6" w:rsidRDefault="005720F6" w:rsidP="005720F6">
      <w:pPr>
        <w:pStyle w:val="Prrafodelista"/>
        <w:numPr>
          <w:ilvl w:val="0"/>
          <w:numId w:val="2"/>
        </w:numPr>
        <w:spacing w:after="0"/>
        <w:jc w:val="both"/>
      </w:pPr>
      <w:r>
        <w:rPr>
          <w:rFonts w:ascii="Cambria" w:hAnsi="Cambria"/>
        </w:rPr>
        <w:t>Identifica las ideas principales de las fuentes y compara sus visiones sobre el proceso estudiado</w:t>
      </w:r>
    </w:p>
    <w:tbl>
      <w:tblPr>
        <w:tblStyle w:val="Tablaconcuadrcula"/>
        <w:tblW w:w="0" w:type="auto"/>
        <w:tblLook w:val="04A0" w:firstRow="1" w:lastRow="0" w:firstColumn="1" w:lastColumn="0" w:noHBand="0" w:noVBand="1"/>
      </w:tblPr>
      <w:tblGrid>
        <w:gridCol w:w="2949"/>
        <w:gridCol w:w="2941"/>
        <w:gridCol w:w="2938"/>
      </w:tblGrid>
      <w:tr w:rsidR="005720F6" w14:paraId="7D4790E1" w14:textId="77777777" w:rsidTr="005720F6">
        <w:tc>
          <w:tcPr>
            <w:tcW w:w="2992" w:type="dxa"/>
          </w:tcPr>
          <w:p w14:paraId="5E0B605F" w14:textId="77777777" w:rsidR="005720F6" w:rsidRDefault="005720F6" w:rsidP="005720F6">
            <w:pPr>
              <w:jc w:val="both"/>
              <w:rPr>
                <w:rFonts w:ascii="Cambria" w:hAnsi="Cambria"/>
                <w:sz w:val="20"/>
                <w:szCs w:val="20"/>
              </w:rPr>
            </w:pPr>
          </w:p>
        </w:tc>
        <w:tc>
          <w:tcPr>
            <w:tcW w:w="2993" w:type="dxa"/>
          </w:tcPr>
          <w:p w14:paraId="757D033C" w14:textId="2DD1FDE0" w:rsidR="005720F6" w:rsidRDefault="005720F6" w:rsidP="005720F6">
            <w:pPr>
              <w:jc w:val="both"/>
              <w:rPr>
                <w:rFonts w:ascii="Cambria" w:hAnsi="Cambria"/>
                <w:sz w:val="20"/>
                <w:szCs w:val="20"/>
              </w:rPr>
            </w:pPr>
            <w:r>
              <w:rPr>
                <w:rFonts w:ascii="Cambria" w:hAnsi="Cambria"/>
                <w:sz w:val="20"/>
                <w:szCs w:val="20"/>
              </w:rPr>
              <w:t>Idea Principal</w:t>
            </w:r>
          </w:p>
        </w:tc>
        <w:tc>
          <w:tcPr>
            <w:tcW w:w="2993" w:type="dxa"/>
          </w:tcPr>
          <w:p w14:paraId="57F2161F" w14:textId="286E7DF6" w:rsidR="005720F6" w:rsidRDefault="005720F6" w:rsidP="005720F6">
            <w:pPr>
              <w:jc w:val="both"/>
              <w:rPr>
                <w:rFonts w:ascii="Cambria" w:hAnsi="Cambria"/>
                <w:sz w:val="20"/>
                <w:szCs w:val="20"/>
              </w:rPr>
            </w:pPr>
            <w:r>
              <w:rPr>
                <w:rFonts w:ascii="Cambria" w:hAnsi="Cambria"/>
                <w:sz w:val="20"/>
                <w:szCs w:val="20"/>
              </w:rPr>
              <w:t>Visión sobre el proceso</w:t>
            </w:r>
          </w:p>
        </w:tc>
      </w:tr>
      <w:tr w:rsidR="005720F6" w14:paraId="7DB1D41E" w14:textId="77777777" w:rsidTr="005720F6">
        <w:tc>
          <w:tcPr>
            <w:tcW w:w="2992" w:type="dxa"/>
          </w:tcPr>
          <w:p w14:paraId="3D8DFDFA" w14:textId="617F23E9" w:rsidR="005720F6" w:rsidRDefault="005720F6" w:rsidP="005720F6">
            <w:pPr>
              <w:jc w:val="both"/>
              <w:rPr>
                <w:rFonts w:ascii="Cambria" w:hAnsi="Cambria"/>
                <w:sz w:val="20"/>
                <w:szCs w:val="20"/>
              </w:rPr>
            </w:pPr>
            <w:r>
              <w:rPr>
                <w:rFonts w:ascii="Cambria" w:hAnsi="Cambria"/>
                <w:sz w:val="20"/>
                <w:szCs w:val="20"/>
              </w:rPr>
              <w:t>Fuente 1</w:t>
            </w:r>
          </w:p>
        </w:tc>
        <w:tc>
          <w:tcPr>
            <w:tcW w:w="2993" w:type="dxa"/>
          </w:tcPr>
          <w:p w14:paraId="0B552B94" w14:textId="77777777" w:rsidR="005720F6" w:rsidRDefault="005720F6" w:rsidP="005720F6">
            <w:pPr>
              <w:jc w:val="both"/>
              <w:rPr>
                <w:rFonts w:ascii="Cambria" w:hAnsi="Cambria"/>
                <w:sz w:val="20"/>
                <w:szCs w:val="20"/>
              </w:rPr>
            </w:pPr>
          </w:p>
        </w:tc>
        <w:tc>
          <w:tcPr>
            <w:tcW w:w="2993" w:type="dxa"/>
          </w:tcPr>
          <w:p w14:paraId="5D757261" w14:textId="77777777" w:rsidR="005720F6" w:rsidRDefault="005720F6" w:rsidP="005720F6">
            <w:pPr>
              <w:jc w:val="both"/>
              <w:rPr>
                <w:rFonts w:ascii="Cambria" w:hAnsi="Cambria"/>
                <w:sz w:val="20"/>
                <w:szCs w:val="20"/>
              </w:rPr>
            </w:pPr>
          </w:p>
        </w:tc>
      </w:tr>
      <w:tr w:rsidR="005720F6" w14:paraId="5D4FD6F2" w14:textId="77777777" w:rsidTr="005720F6">
        <w:tc>
          <w:tcPr>
            <w:tcW w:w="2992" w:type="dxa"/>
          </w:tcPr>
          <w:p w14:paraId="38EE5CEF" w14:textId="1A24A8D1" w:rsidR="005720F6" w:rsidRDefault="005720F6" w:rsidP="005720F6">
            <w:pPr>
              <w:jc w:val="both"/>
              <w:rPr>
                <w:rFonts w:ascii="Cambria" w:hAnsi="Cambria"/>
                <w:sz w:val="20"/>
                <w:szCs w:val="20"/>
              </w:rPr>
            </w:pPr>
            <w:r>
              <w:rPr>
                <w:rFonts w:ascii="Cambria" w:hAnsi="Cambria"/>
                <w:sz w:val="20"/>
                <w:szCs w:val="20"/>
              </w:rPr>
              <w:t>Fuente 2</w:t>
            </w:r>
          </w:p>
        </w:tc>
        <w:tc>
          <w:tcPr>
            <w:tcW w:w="2993" w:type="dxa"/>
          </w:tcPr>
          <w:p w14:paraId="2B6FFC37" w14:textId="77777777" w:rsidR="005720F6" w:rsidRDefault="005720F6" w:rsidP="005720F6">
            <w:pPr>
              <w:jc w:val="both"/>
              <w:rPr>
                <w:rFonts w:ascii="Cambria" w:hAnsi="Cambria"/>
                <w:sz w:val="20"/>
                <w:szCs w:val="20"/>
              </w:rPr>
            </w:pPr>
          </w:p>
        </w:tc>
        <w:tc>
          <w:tcPr>
            <w:tcW w:w="2993" w:type="dxa"/>
          </w:tcPr>
          <w:p w14:paraId="022B9716" w14:textId="77777777" w:rsidR="005720F6" w:rsidRDefault="005720F6" w:rsidP="005720F6">
            <w:pPr>
              <w:jc w:val="both"/>
              <w:rPr>
                <w:rFonts w:ascii="Cambria" w:hAnsi="Cambria"/>
                <w:sz w:val="20"/>
                <w:szCs w:val="20"/>
              </w:rPr>
            </w:pPr>
          </w:p>
        </w:tc>
      </w:tr>
      <w:tr w:rsidR="005720F6" w14:paraId="258559C3" w14:textId="77777777" w:rsidTr="005720F6">
        <w:tc>
          <w:tcPr>
            <w:tcW w:w="2992" w:type="dxa"/>
          </w:tcPr>
          <w:p w14:paraId="2A253EBE" w14:textId="1E1BC94A" w:rsidR="005720F6" w:rsidRDefault="005720F6" w:rsidP="005720F6">
            <w:pPr>
              <w:jc w:val="both"/>
              <w:rPr>
                <w:rFonts w:ascii="Cambria" w:hAnsi="Cambria"/>
                <w:sz w:val="20"/>
                <w:szCs w:val="20"/>
              </w:rPr>
            </w:pPr>
            <w:r>
              <w:rPr>
                <w:rFonts w:ascii="Cambria" w:hAnsi="Cambria"/>
                <w:sz w:val="20"/>
                <w:szCs w:val="20"/>
              </w:rPr>
              <w:t>Fuente 3</w:t>
            </w:r>
          </w:p>
        </w:tc>
        <w:tc>
          <w:tcPr>
            <w:tcW w:w="2993" w:type="dxa"/>
          </w:tcPr>
          <w:p w14:paraId="71E4CDB2" w14:textId="77777777" w:rsidR="005720F6" w:rsidRDefault="005720F6" w:rsidP="005720F6">
            <w:pPr>
              <w:jc w:val="both"/>
              <w:rPr>
                <w:rFonts w:ascii="Cambria" w:hAnsi="Cambria"/>
                <w:sz w:val="20"/>
                <w:szCs w:val="20"/>
              </w:rPr>
            </w:pPr>
          </w:p>
        </w:tc>
        <w:tc>
          <w:tcPr>
            <w:tcW w:w="2993" w:type="dxa"/>
          </w:tcPr>
          <w:p w14:paraId="71B41B39" w14:textId="77777777" w:rsidR="005720F6" w:rsidRDefault="005720F6" w:rsidP="005720F6">
            <w:pPr>
              <w:jc w:val="both"/>
              <w:rPr>
                <w:rFonts w:ascii="Cambria" w:hAnsi="Cambria"/>
                <w:sz w:val="20"/>
                <w:szCs w:val="20"/>
              </w:rPr>
            </w:pPr>
          </w:p>
        </w:tc>
      </w:tr>
      <w:tr w:rsidR="005720F6" w14:paraId="4AFCAB23" w14:textId="77777777" w:rsidTr="005720F6">
        <w:tc>
          <w:tcPr>
            <w:tcW w:w="2992" w:type="dxa"/>
          </w:tcPr>
          <w:p w14:paraId="597CF639" w14:textId="1E49CFE8" w:rsidR="005720F6" w:rsidRDefault="005720F6" w:rsidP="005720F6">
            <w:pPr>
              <w:jc w:val="both"/>
              <w:rPr>
                <w:rFonts w:ascii="Cambria" w:hAnsi="Cambria"/>
                <w:sz w:val="20"/>
                <w:szCs w:val="20"/>
              </w:rPr>
            </w:pPr>
            <w:r>
              <w:rPr>
                <w:rFonts w:ascii="Cambria" w:hAnsi="Cambria"/>
                <w:sz w:val="20"/>
                <w:szCs w:val="20"/>
              </w:rPr>
              <w:t>Fuente 4</w:t>
            </w:r>
          </w:p>
        </w:tc>
        <w:tc>
          <w:tcPr>
            <w:tcW w:w="2993" w:type="dxa"/>
          </w:tcPr>
          <w:p w14:paraId="29FEBE34" w14:textId="77777777" w:rsidR="005720F6" w:rsidRDefault="005720F6" w:rsidP="005720F6">
            <w:pPr>
              <w:jc w:val="both"/>
              <w:rPr>
                <w:rFonts w:ascii="Cambria" w:hAnsi="Cambria"/>
                <w:sz w:val="20"/>
                <w:szCs w:val="20"/>
              </w:rPr>
            </w:pPr>
          </w:p>
        </w:tc>
        <w:tc>
          <w:tcPr>
            <w:tcW w:w="2993" w:type="dxa"/>
          </w:tcPr>
          <w:p w14:paraId="2CD38E09" w14:textId="77777777" w:rsidR="005720F6" w:rsidRDefault="005720F6" w:rsidP="005720F6">
            <w:pPr>
              <w:jc w:val="both"/>
              <w:rPr>
                <w:rFonts w:ascii="Cambria" w:hAnsi="Cambria"/>
                <w:sz w:val="20"/>
                <w:szCs w:val="20"/>
              </w:rPr>
            </w:pPr>
          </w:p>
        </w:tc>
      </w:tr>
      <w:tr w:rsidR="0071535D" w14:paraId="2F3AB1C4" w14:textId="77777777" w:rsidTr="005720F6">
        <w:tc>
          <w:tcPr>
            <w:tcW w:w="2992" w:type="dxa"/>
          </w:tcPr>
          <w:p w14:paraId="34D7E884" w14:textId="1AB583AC" w:rsidR="0071535D" w:rsidRDefault="0071535D" w:rsidP="005720F6">
            <w:pPr>
              <w:jc w:val="both"/>
              <w:rPr>
                <w:rFonts w:ascii="Cambria" w:hAnsi="Cambria"/>
                <w:sz w:val="20"/>
                <w:szCs w:val="20"/>
              </w:rPr>
            </w:pPr>
            <w:r>
              <w:rPr>
                <w:rFonts w:ascii="Cambria" w:hAnsi="Cambria"/>
                <w:sz w:val="20"/>
                <w:szCs w:val="20"/>
              </w:rPr>
              <w:t>Fuente 5</w:t>
            </w:r>
          </w:p>
        </w:tc>
        <w:tc>
          <w:tcPr>
            <w:tcW w:w="2993" w:type="dxa"/>
          </w:tcPr>
          <w:p w14:paraId="59FFF0FC" w14:textId="77777777" w:rsidR="0071535D" w:rsidRDefault="0071535D" w:rsidP="005720F6">
            <w:pPr>
              <w:jc w:val="both"/>
              <w:rPr>
                <w:rFonts w:ascii="Cambria" w:hAnsi="Cambria"/>
                <w:sz w:val="20"/>
                <w:szCs w:val="20"/>
              </w:rPr>
            </w:pPr>
          </w:p>
        </w:tc>
        <w:tc>
          <w:tcPr>
            <w:tcW w:w="2993" w:type="dxa"/>
          </w:tcPr>
          <w:p w14:paraId="4ACCD601" w14:textId="77777777" w:rsidR="0071535D" w:rsidRDefault="0071535D" w:rsidP="005720F6">
            <w:pPr>
              <w:jc w:val="both"/>
              <w:rPr>
                <w:rFonts w:ascii="Cambria" w:hAnsi="Cambria"/>
                <w:sz w:val="20"/>
                <w:szCs w:val="20"/>
              </w:rPr>
            </w:pPr>
          </w:p>
        </w:tc>
      </w:tr>
      <w:tr w:rsidR="005720F6" w14:paraId="5EC891F2" w14:textId="77777777" w:rsidTr="00CB5231">
        <w:tc>
          <w:tcPr>
            <w:tcW w:w="2992" w:type="dxa"/>
          </w:tcPr>
          <w:p w14:paraId="47D88D22" w14:textId="46A66EE0" w:rsidR="005720F6" w:rsidRDefault="005720F6" w:rsidP="005720F6">
            <w:pPr>
              <w:jc w:val="both"/>
              <w:rPr>
                <w:rFonts w:ascii="Cambria" w:hAnsi="Cambria"/>
                <w:sz w:val="20"/>
                <w:szCs w:val="20"/>
              </w:rPr>
            </w:pPr>
            <w:r>
              <w:rPr>
                <w:rFonts w:ascii="Cambria" w:hAnsi="Cambria"/>
                <w:sz w:val="20"/>
                <w:szCs w:val="20"/>
              </w:rPr>
              <w:t>Semejanzas</w:t>
            </w:r>
          </w:p>
        </w:tc>
        <w:tc>
          <w:tcPr>
            <w:tcW w:w="5986" w:type="dxa"/>
            <w:gridSpan w:val="2"/>
          </w:tcPr>
          <w:p w14:paraId="141E0593" w14:textId="77777777" w:rsidR="005720F6" w:rsidRDefault="005720F6" w:rsidP="005720F6">
            <w:pPr>
              <w:jc w:val="both"/>
              <w:rPr>
                <w:rFonts w:ascii="Cambria" w:hAnsi="Cambria"/>
                <w:sz w:val="20"/>
                <w:szCs w:val="20"/>
              </w:rPr>
            </w:pPr>
          </w:p>
        </w:tc>
      </w:tr>
      <w:tr w:rsidR="005720F6" w14:paraId="7FE4BFED" w14:textId="77777777" w:rsidTr="00BB6CDF">
        <w:tc>
          <w:tcPr>
            <w:tcW w:w="2992" w:type="dxa"/>
          </w:tcPr>
          <w:p w14:paraId="4C317718" w14:textId="7CE8F2C3" w:rsidR="005720F6" w:rsidRDefault="005720F6" w:rsidP="005720F6">
            <w:pPr>
              <w:jc w:val="both"/>
              <w:rPr>
                <w:rFonts w:ascii="Cambria" w:hAnsi="Cambria"/>
                <w:sz w:val="20"/>
                <w:szCs w:val="20"/>
              </w:rPr>
            </w:pPr>
            <w:r>
              <w:rPr>
                <w:rFonts w:ascii="Cambria" w:hAnsi="Cambria"/>
                <w:sz w:val="20"/>
                <w:szCs w:val="20"/>
              </w:rPr>
              <w:t>Diferencias</w:t>
            </w:r>
          </w:p>
        </w:tc>
        <w:tc>
          <w:tcPr>
            <w:tcW w:w="5986" w:type="dxa"/>
            <w:gridSpan w:val="2"/>
          </w:tcPr>
          <w:p w14:paraId="0106E0A5" w14:textId="77777777" w:rsidR="005720F6" w:rsidRDefault="005720F6" w:rsidP="005720F6">
            <w:pPr>
              <w:jc w:val="both"/>
              <w:rPr>
                <w:rFonts w:ascii="Cambria" w:hAnsi="Cambria"/>
                <w:sz w:val="20"/>
                <w:szCs w:val="20"/>
              </w:rPr>
            </w:pPr>
          </w:p>
        </w:tc>
      </w:tr>
      <w:tr w:rsidR="005720F6" w14:paraId="7321B4FC" w14:textId="77777777" w:rsidTr="00B13833">
        <w:tc>
          <w:tcPr>
            <w:tcW w:w="2992" w:type="dxa"/>
          </w:tcPr>
          <w:p w14:paraId="47F7DA03" w14:textId="0B403520" w:rsidR="005720F6" w:rsidRDefault="005720F6" w:rsidP="005720F6">
            <w:pPr>
              <w:jc w:val="both"/>
              <w:rPr>
                <w:rFonts w:ascii="Cambria" w:hAnsi="Cambria"/>
                <w:sz w:val="20"/>
                <w:szCs w:val="20"/>
              </w:rPr>
            </w:pPr>
            <w:r>
              <w:rPr>
                <w:rFonts w:ascii="Cambria" w:hAnsi="Cambria"/>
                <w:sz w:val="20"/>
                <w:szCs w:val="20"/>
              </w:rPr>
              <w:t>Conclusiones</w:t>
            </w:r>
          </w:p>
        </w:tc>
        <w:tc>
          <w:tcPr>
            <w:tcW w:w="5986" w:type="dxa"/>
            <w:gridSpan w:val="2"/>
          </w:tcPr>
          <w:p w14:paraId="0ECD4020" w14:textId="77777777" w:rsidR="005720F6" w:rsidRDefault="005720F6" w:rsidP="005720F6">
            <w:pPr>
              <w:jc w:val="both"/>
              <w:rPr>
                <w:rFonts w:ascii="Cambria" w:hAnsi="Cambria"/>
                <w:sz w:val="20"/>
                <w:szCs w:val="20"/>
              </w:rPr>
            </w:pPr>
          </w:p>
        </w:tc>
      </w:tr>
    </w:tbl>
    <w:p w14:paraId="5D9D3AAF" w14:textId="05A8AA47" w:rsidR="0071535D" w:rsidRPr="0071535D" w:rsidRDefault="0071535D" w:rsidP="0071535D">
      <w:pPr>
        <w:pStyle w:val="Prrafodelista"/>
        <w:numPr>
          <w:ilvl w:val="0"/>
          <w:numId w:val="2"/>
        </w:numPr>
      </w:pPr>
      <w:r>
        <w:rPr>
          <w:rFonts w:ascii="Cambria" w:hAnsi="Cambria"/>
        </w:rPr>
        <w:t>¿Cómo describirías el comercio mundial durante el siglo XIX?, ¿se parece al actual?</w:t>
      </w:r>
    </w:p>
    <w:p w14:paraId="44CAD86D" w14:textId="3860334F" w:rsidR="00A970F6" w:rsidRDefault="0071535D" w:rsidP="0071535D">
      <w:pPr>
        <w:pStyle w:val="Prrafodelista"/>
        <w:numPr>
          <w:ilvl w:val="0"/>
          <w:numId w:val="2"/>
        </w:numPr>
      </w:pPr>
      <w:r>
        <w:rPr>
          <w:rFonts w:ascii="Cambria" w:hAnsi="Cambria"/>
        </w:rPr>
        <w:t xml:space="preserve">Redacta una opinión sobre los efectos económicos de la Revolución Industrial, considerando </w:t>
      </w:r>
      <w:r w:rsidRPr="0071535D">
        <w:rPr>
          <w:rFonts w:ascii="Cambria" w:hAnsi="Cambria"/>
        </w:rPr>
        <w:t>sus contradicciones y sus proyecciones hasta la actualidad.</w:t>
      </w:r>
    </w:p>
    <w:p w14:paraId="32CEB544" w14:textId="3F0CC16D" w:rsidR="005720F6" w:rsidRDefault="005720F6" w:rsidP="005720F6">
      <w:pPr>
        <w:spacing w:after="0"/>
        <w:rPr>
          <w:rFonts w:ascii="Cambria" w:hAnsi="Cambria"/>
          <w:sz w:val="20"/>
          <w:szCs w:val="20"/>
        </w:rPr>
      </w:pPr>
      <w:r>
        <w:rPr>
          <w:rFonts w:ascii="Cambria" w:hAnsi="Cambria"/>
          <w:sz w:val="20"/>
          <w:szCs w:val="20"/>
        </w:rPr>
        <w:t>Fuente 1:</w:t>
      </w:r>
    </w:p>
    <w:p w14:paraId="1B04D286" w14:textId="77777777" w:rsidR="005720F6" w:rsidRDefault="005720F6" w:rsidP="005720F6">
      <w:pPr>
        <w:spacing w:after="0"/>
        <w:jc w:val="both"/>
        <w:rPr>
          <w:rFonts w:ascii="Cambria" w:hAnsi="Cambria"/>
          <w:sz w:val="20"/>
          <w:szCs w:val="20"/>
        </w:rPr>
      </w:pPr>
      <w:r>
        <w:rPr>
          <w:rFonts w:ascii="Cambria" w:hAnsi="Cambria"/>
          <w:sz w:val="20"/>
          <w:szCs w:val="20"/>
        </w:rPr>
        <w:t>“</w:t>
      </w:r>
      <w:r w:rsidRPr="005720F6">
        <w:rPr>
          <w:rFonts w:ascii="Cambria" w:hAnsi="Cambria"/>
          <w:sz w:val="20"/>
          <w:szCs w:val="20"/>
        </w:rPr>
        <w:t>Bajo un sistema de comercio perfectamente libre, cada país dedica de manera natural su capital y su trabajo a los empleos más beneficiosos para cada uno de ellos. Esta búsqueda de la ventaja individual está conectada con el bien universal del conjunto. Estimulando la industria, fomentando el ingenio y usando lo más eficazmente posible las facultades propias otorgadas por la naturaleza, [el libre comercio] distribuye el trabajo de la manera más eficaz y económica posible: de manera que, aumentando el nivel general de producción, extiende un beneficio general, y une en una confluencia de intereses y comercio a la sociedad universal de naciones por todo el mundo civilizado. Es este principio el que determina que el vino sea producido en Francia y en Portugal, que el trigo sea producido en América y en Polonia, y que los equipos y otros bienes sean fabricados en Inglaterra</w:t>
      </w:r>
      <w:r>
        <w:rPr>
          <w:rFonts w:ascii="Cambria" w:hAnsi="Cambria"/>
          <w:sz w:val="20"/>
          <w:szCs w:val="20"/>
        </w:rPr>
        <w:t>”</w:t>
      </w:r>
      <w:r w:rsidRPr="005720F6">
        <w:rPr>
          <w:rFonts w:ascii="Cambria" w:hAnsi="Cambria"/>
          <w:sz w:val="20"/>
          <w:szCs w:val="20"/>
        </w:rPr>
        <w:t xml:space="preserve">. </w:t>
      </w:r>
    </w:p>
    <w:p w14:paraId="2AAABBB4" w14:textId="07EC82A4" w:rsidR="005720F6" w:rsidRDefault="005720F6" w:rsidP="005720F6">
      <w:pPr>
        <w:spacing w:after="0"/>
        <w:jc w:val="right"/>
        <w:rPr>
          <w:rFonts w:ascii="Cambria" w:hAnsi="Cambria"/>
          <w:sz w:val="20"/>
          <w:szCs w:val="20"/>
        </w:rPr>
      </w:pPr>
      <w:r w:rsidRPr="005720F6">
        <w:rPr>
          <w:rFonts w:ascii="Cambria" w:hAnsi="Cambria"/>
          <w:sz w:val="20"/>
          <w:szCs w:val="20"/>
        </w:rPr>
        <w:t>Ricardo, D</w:t>
      </w:r>
      <w:r>
        <w:rPr>
          <w:rFonts w:ascii="Cambria" w:hAnsi="Cambria"/>
          <w:sz w:val="20"/>
          <w:szCs w:val="20"/>
        </w:rPr>
        <w:t>avid</w:t>
      </w:r>
      <w:r w:rsidRPr="005720F6">
        <w:rPr>
          <w:rFonts w:ascii="Cambria" w:hAnsi="Cambria"/>
          <w:sz w:val="20"/>
          <w:szCs w:val="20"/>
        </w:rPr>
        <w:t xml:space="preserve">. (1817). </w:t>
      </w:r>
      <w:r w:rsidRPr="005720F6">
        <w:rPr>
          <w:rFonts w:ascii="Cambria" w:hAnsi="Cambria"/>
          <w:i/>
          <w:iCs/>
          <w:sz w:val="20"/>
          <w:szCs w:val="20"/>
        </w:rPr>
        <w:t>Principios de economía política y tributación</w:t>
      </w:r>
      <w:r>
        <w:rPr>
          <w:rFonts w:ascii="Cambria" w:hAnsi="Cambria"/>
          <w:sz w:val="20"/>
          <w:szCs w:val="20"/>
        </w:rPr>
        <w:t>.</w:t>
      </w:r>
    </w:p>
    <w:p w14:paraId="548D53B6" w14:textId="1E7B679C" w:rsidR="005720F6" w:rsidRDefault="005720F6" w:rsidP="005720F6">
      <w:pPr>
        <w:spacing w:after="0"/>
        <w:jc w:val="both"/>
        <w:rPr>
          <w:rFonts w:ascii="Cambria" w:hAnsi="Cambria"/>
          <w:sz w:val="20"/>
          <w:szCs w:val="20"/>
        </w:rPr>
      </w:pPr>
      <w:r>
        <w:rPr>
          <w:rFonts w:ascii="Cambria" w:hAnsi="Cambria"/>
          <w:sz w:val="20"/>
          <w:szCs w:val="20"/>
        </w:rPr>
        <w:t>Fuente 2:</w:t>
      </w:r>
    </w:p>
    <w:p w14:paraId="10CCCC57" w14:textId="77777777" w:rsidR="005720F6" w:rsidRDefault="005720F6" w:rsidP="005720F6">
      <w:pPr>
        <w:spacing w:after="0"/>
        <w:jc w:val="both"/>
        <w:rPr>
          <w:rFonts w:ascii="Cambria" w:hAnsi="Cambria"/>
          <w:sz w:val="20"/>
          <w:szCs w:val="20"/>
        </w:rPr>
      </w:pPr>
      <w:r>
        <w:rPr>
          <w:rFonts w:ascii="Cambria" w:hAnsi="Cambria"/>
          <w:sz w:val="20"/>
          <w:szCs w:val="20"/>
        </w:rPr>
        <w:t>“</w:t>
      </w:r>
      <w:r w:rsidRPr="005720F6">
        <w:rPr>
          <w:rFonts w:ascii="Cambria" w:hAnsi="Cambria"/>
          <w:sz w:val="20"/>
          <w:szCs w:val="20"/>
        </w:rPr>
        <w:t>Todo individuo trata de emplear su capital de tal forma que su producto tenga el mayor valor posible. Generalmente ni pretende promover el interés público, ni sabe cuánto lo está promoviendo. Lo único que busca es su propia seguridad, solo su propio provecho. Y al hacerlo, una mano invisible lo lleva a promover un fin que no estaba en sus intenciones. Al buscar su propio interés, a menudo promueve el de la sociedad más eficazmente que si realmente pretendiera promoverlo</w:t>
      </w:r>
      <w:r>
        <w:rPr>
          <w:rFonts w:ascii="Cambria" w:hAnsi="Cambria"/>
          <w:sz w:val="20"/>
          <w:szCs w:val="20"/>
        </w:rPr>
        <w:t>”</w:t>
      </w:r>
      <w:r w:rsidRPr="005720F6">
        <w:rPr>
          <w:rFonts w:ascii="Cambria" w:hAnsi="Cambria"/>
          <w:sz w:val="20"/>
          <w:szCs w:val="20"/>
        </w:rPr>
        <w:t xml:space="preserve">. </w:t>
      </w:r>
    </w:p>
    <w:p w14:paraId="35458447" w14:textId="6D07C165" w:rsidR="005720F6" w:rsidRDefault="005720F6" w:rsidP="005720F6">
      <w:pPr>
        <w:spacing w:after="0"/>
        <w:jc w:val="right"/>
        <w:rPr>
          <w:rFonts w:ascii="Cambria" w:hAnsi="Cambria"/>
          <w:sz w:val="20"/>
          <w:szCs w:val="20"/>
        </w:rPr>
      </w:pPr>
      <w:r w:rsidRPr="005720F6">
        <w:rPr>
          <w:rFonts w:ascii="Cambria" w:hAnsi="Cambria"/>
          <w:sz w:val="20"/>
          <w:szCs w:val="20"/>
        </w:rPr>
        <w:t>Smith, A</w:t>
      </w:r>
      <w:r>
        <w:rPr>
          <w:rFonts w:ascii="Cambria" w:hAnsi="Cambria"/>
          <w:sz w:val="20"/>
          <w:szCs w:val="20"/>
        </w:rPr>
        <w:t>dam</w:t>
      </w:r>
      <w:r w:rsidRPr="005720F6">
        <w:rPr>
          <w:rFonts w:ascii="Cambria" w:hAnsi="Cambria"/>
          <w:sz w:val="20"/>
          <w:szCs w:val="20"/>
        </w:rPr>
        <w:t xml:space="preserve">. (1776). </w:t>
      </w:r>
      <w:r w:rsidRPr="005720F6">
        <w:rPr>
          <w:rFonts w:ascii="Cambria" w:hAnsi="Cambria"/>
          <w:i/>
          <w:iCs/>
          <w:sz w:val="20"/>
          <w:szCs w:val="20"/>
        </w:rPr>
        <w:t>Investigación sobre la naturaleza y causas de la riqueza de las naciones</w:t>
      </w:r>
      <w:r>
        <w:rPr>
          <w:rFonts w:ascii="Cambria" w:hAnsi="Cambria"/>
          <w:sz w:val="20"/>
          <w:szCs w:val="20"/>
        </w:rPr>
        <w:t>.</w:t>
      </w:r>
    </w:p>
    <w:p w14:paraId="734F39CC" w14:textId="279A256F" w:rsidR="005720F6" w:rsidRDefault="005720F6" w:rsidP="005720F6">
      <w:pPr>
        <w:spacing w:after="0"/>
        <w:jc w:val="both"/>
        <w:rPr>
          <w:rFonts w:ascii="Cambria" w:hAnsi="Cambria"/>
          <w:sz w:val="20"/>
          <w:szCs w:val="20"/>
        </w:rPr>
      </w:pPr>
      <w:r>
        <w:rPr>
          <w:rFonts w:ascii="Cambria" w:hAnsi="Cambria"/>
          <w:sz w:val="20"/>
          <w:szCs w:val="20"/>
        </w:rPr>
        <w:t>Fuente 3:</w:t>
      </w:r>
    </w:p>
    <w:p w14:paraId="08D36259" w14:textId="77777777" w:rsidR="005720F6" w:rsidRDefault="005720F6" w:rsidP="005720F6">
      <w:pPr>
        <w:spacing w:after="0"/>
        <w:jc w:val="both"/>
        <w:rPr>
          <w:rFonts w:ascii="Cambria" w:hAnsi="Cambria"/>
          <w:sz w:val="20"/>
          <w:szCs w:val="20"/>
        </w:rPr>
      </w:pPr>
      <w:r>
        <w:rPr>
          <w:rFonts w:ascii="Cambria" w:hAnsi="Cambria"/>
          <w:sz w:val="20"/>
          <w:szCs w:val="20"/>
        </w:rPr>
        <w:t>“</w:t>
      </w:r>
      <w:r w:rsidRPr="005720F6">
        <w:rPr>
          <w:rFonts w:ascii="Cambria" w:hAnsi="Cambria"/>
          <w:sz w:val="20"/>
          <w:szCs w:val="20"/>
        </w:rPr>
        <w:t>La maquinaria (…) permite emplear obreros sin fuerza muscular o sin un desarrollo físico completo, que posean, en cambio, una gran flexibilidad en sus miembros. El trabajo de la mujer y del niño fue, por tanto, la primera consigna de la aplicación capitalista de la maquinaria. De este modo, aquel instrumento gigantesco creado para eliminar trabajo y obreros se convertía inmediatamente en medio de multiplicación del número de asalariados, empleando a todos los individuos de la familia obrera, sin distinción de edad ni de sexo (…). Los trabajos forzados al servicio del capitalista vinieron a invadir y usurpar no solo el lugar reservado a juegos infantiles, sino también el puesto de trabajo libre dentro de la esfera doméstica</w:t>
      </w:r>
      <w:r>
        <w:rPr>
          <w:rFonts w:ascii="Cambria" w:hAnsi="Cambria"/>
          <w:sz w:val="20"/>
          <w:szCs w:val="20"/>
        </w:rPr>
        <w:t>”</w:t>
      </w:r>
      <w:r w:rsidRPr="005720F6">
        <w:rPr>
          <w:rFonts w:ascii="Cambria" w:hAnsi="Cambria"/>
          <w:sz w:val="20"/>
          <w:szCs w:val="20"/>
        </w:rPr>
        <w:t xml:space="preserve">. </w:t>
      </w:r>
    </w:p>
    <w:p w14:paraId="53FC87C7" w14:textId="594A03C9" w:rsidR="005720F6" w:rsidRDefault="005720F6" w:rsidP="005720F6">
      <w:pPr>
        <w:spacing w:after="0"/>
        <w:jc w:val="right"/>
        <w:rPr>
          <w:rFonts w:ascii="Cambria" w:hAnsi="Cambria"/>
          <w:sz w:val="20"/>
          <w:szCs w:val="20"/>
        </w:rPr>
      </w:pPr>
      <w:r w:rsidRPr="005720F6">
        <w:rPr>
          <w:rFonts w:ascii="Cambria" w:hAnsi="Cambria"/>
          <w:sz w:val="20"/>
          <w:szCs w:val="20"/>
        </w:rPr>
        <w:t>Marx, K</w:t>
      </w:r>
      <w:r>
        <w:rPr>
          <w:rFonts w:ascii="Cambria" w:hAnsi="Cambria"/>
          <w:sz w:val="20"/>
          <w:szCs w:val="20"/>
        </w:rPr>
        <w:t>arl</w:t>
      </w:r>
      <w:r w:rsidRPr="005720F6">
        <w:rPr>
          <w:rFonts w:ascii="Cambria" w:hAnsi="Cambria"/>
          <w:sz w:val="20"/>
          <w:szCs w:val="20"/>
        </w:rPr>
        <w:t xml:space="preserve">. (1867). </w:t>
      </w:r>
      <w:r w:rsidRPr="005720F6">
        <w:rPr>
          <w:rFonts w:ascii="Cambria" w:hAnsi="Cambria"/>
          <w:i/>
          <w:iCs/>
          <w:sz w:val="20"/>
          <w:szCs w:val="20"/>
        </w:rPr>
        <w:t>El capital</w:t>
      </w:r>
      <w:r w:rsidRPr="005720F6">
        <w:rPr>
          <w:rFonts w:ascii="Cambria" w:hAnsi="Cambria"/>
          <w:sz w:val="20"/>
          <w:szCs w:val="20"/>
        </w:rPr>
        <w:t>.</w:t>
      </w:r>
    </w:p>
    <w:p w14:paraId="5896A974" w14:textId="57871521" w:rsidR="005720F6" w:rsidRDefault="005720F6" w:rsidP="005720F6">
      <w:pPr>
        <w:spacing w:after="0"/>
        <w:jc w:val="both"/>
        <w:rPr>
          <w:rFonts w:ascii="Cambria" w:hAnsi="Cambria"/>
          <w:sz w:val="20"/>
          <w:szCs w:val="20"/>
        </w:rPr>
      </w:pPr>
      <w:r>
        <w:rPr>
          <w:rFonts w:ascii="Cambria" w:hAnsi="Cambria"/>
          <w:sz w:val="20"/>
          <w:szCs w:val="20"/>
        </w:rPr>
        <w:t>Fuente 4:</w:t>
      </w:r>
    </w:p>
    <w:p w14:paraId="30F16B67" w14:textId="08BE1B15" w:rsidR="005720F6" w:rsidRDefault="005720F6" w:rsidP="005720F6">
      <w:pPr>
        <w:spacing w:after="0"/>
        <w:jc w:val="both"/>
        <w:rPr>
          <w:rFonts w:ascii="Cambria" w:hAnsi="Cambria"/>
          <w:sz w:val="20"/>
          <w:szCs w:val="20"/>
        </w:rPr>
      </w:pPr>
      <w:r>
        <w:rPr>
          <w:rFonts w:ascii="Cambria" w:hAnsi="Cambria"/>
          <w:sz w:val="20"/>
          <w:szCs w:val="20"/>
        </w:rPr>
        <w:t>“Europa occidental y, en 1870, principalmente Gran Bretaña, eran el taller industrial del mundo. Un economista inglés se maravillaba en 1866 de que Inglaterra tuviera entonces sus graneros en Chicago y Odessa, sus bosques en Canadá y en el Báltico, sus ovejas en Australia y sus minas de oro y plata en California y en el Perú, mientras tomaba el té que le llegaba de China y el café de las plantaciones de las Indias Orientales. Los artículos, los servicios, el dinero, el capital, las personas se movían en todas direcciones sin tener en cuenta las fronteras nacionales”.</w:t>
      </w:r>
    </w:p>
    <w:p w14:paraId="24F61419" w14:textId="28B50D9B" w:rsidR="005720F6" w:rsidRDefault="005720F6" w:rsidP="005720F6">
      <w:pPr>
        <w:spacing w:after="0"/>
        <w:jc w:val="right"/>
        <w:rPr>
          <w:rFonts w:ascii="Cambria" w:hAnsi="Cambria"/>
          <w:sz w:val="20"/>
          <w:szCs w:val="20"/>
        </w:rPr>
      </w:pPr>
      <w:r>
        <w:rPr>
          <w:rFonts w:ascii="Cambria" w:hAnsi="Cambria"/>
          <w:sz w:val="20"/>
          <w:szCs w:val="20"/>
        </w:rPr>
        <w:t xml:space="preserve">Palmer, Robert y </w:t>
      </w:r>
      <w:proofErr w:type="spellStart"/>
      <w:r>
        <w:rPr>
          <w:rFonts w:ascii="Cambria" w:hAnsi="Cambria"/>
          <w:sz w:val="20"/>
          <w:szCs w:val="20"/>
        </w:rPr>
        <w:t>Colton</w:t>
      </w:r>
      <w:proofErr w:type="spellEnd"/>
      <w:r>
        <w:rPr>
          <w:rFonts w:ascii="Cambria" w:hAnsi="Cambria"/>
          <w:sz w:val="20"/>
          <w:szCs w:val="20"/>
        </w:rPr>
        <w:t xml:space="preserve">, Joel (1990). </w:t>
      </w:r>
      <w:r w:rsidRPr="005720F6">
        <w:rPr>
          <w:rFonts w:ascii="Cambria" w:hAnsi="Cambria"/>
          <w:i/>
          <w:iCs/>
          <w:sz w:val="20"/>
          <w:szCs w:val="20"/>
        </w:rPr>
        <w:t>Historia contemporánea</w:t>
      </w:r>
      <w:r>
        <w:rPr>
          <w:rFonts w:ascii="Cambria" w:hAnsi="Cambria"/>
          <w:sz w:val="20"/>
          <w:szCs w:val="20"/>
        </w:rPr>
        <w:t>.</w:t>
      </w:r>
    </w:p>
    <w:p w14:paraId="51EC7817" w14:textId="77777777" w:rsidR="00EE366C" w:rsidRDefault="00EE366C" w:rsidP="005720F6">
      <w:pPr>
        <w:spacing w:after="0"/>
        <w:jc w:val="both"/>
        <w:rPr>
          <w:rFonts w:ascii="Cambria" w:hAnsi="Cambria"/>
          <w:sz w:val="20"/>
          <w:szCs w:val="20"/>
        </w:rPr>
      </w:pPr>
    </w:p>
    <w:p w14:paraId="4A6A8542" w14:textId="77777777" w:rsidR="00EE366C" w:rsidRDefault="00EE366C" w:rsidP="005720F6">
      <w:pPr>
        <w:spacing w:after="0"/>
        <w:jc w:val="both"/>
        <w:rPr>
          <w:rFonts w:ascii="Cambria" w:hAnsi="Cambria"/>
          <w:sz w:val="20"/>
          <w:szCs w:val="20"/>
        </w:rPr>
      </w:pPr>
    </w:p>
    <w:p w14:paraId="7D9D3BBA" w14:textId="77C7E35E" w:rsidR="005720F6" w:rsidRDefault="005720F6" w:rsidP="005720F6">
      <w:pPr>
        <w:spacing w:after="0"/>
        <w:jc w:val="both"/>
        <w:rPr>
          <w:rFonts w:ascii="Cambria" w:hAnsi="Cambria"/>
          <w:sz w:val="20"/>
          <w:szCs w:val="20"/>
        </w:rPr>
      </w:pPr>
      <w:r>
        <w:rPr>
          <w:rFonts w:ascii="Cambria" w:hAnsi="Cambria"/>
          <w:sz w:val="20"/>
          <w:szCs w:val="20"/>
        </w:rPr>
        <w:t>Fuente 5:</w:t>
      </w:r>
    </w:p>
    <w:p w14:paraId="1AA445F0" w14:textId="76A6C192" w:rsidR="0071535D" w:rsidRDefault="0071535D" w:rsidP="005720F6">
      <w:pPr>
        <w:spacing w:after="0"/>
        <w:jc w:val="both"/>
        <w:rPr>
          <w:rFonts w:ascii="Cambria" w:hAnsi="Cambria"/>
          <w:sz w:val="20"/>
          <w:szCs w:val="20"/>
        </w:rPr>
      </w:pPr>
      <w:r>
        <w:rPr>
          <w:rFonts w:ascii="Cambria" w:hAnsi="Cambria"/>
          <w:sz w:val="20"/>
          <w:szCs w:val="20"/>
        </w:rPr>
        <w:t xml:space="preserve">“América Latina asistió a partir de 1870 a la consolidación de un proceso económico y político que el historiador </w:t>
      </w:r>
      <w:proofErr w:type="spellStart"/>
      <w:r>
        <w:rPr>
          <w:rFonts w:ascii="Cambria" w:hAnsi="Cambria"/>
          <w:sz w:val="20"/>
          <w:szCs w:val="20"/>
        </w:rPr>
        <w:t>Halperín</w:t>
      </w:r>
      <w:proofErr w:type="spellEnd"/>
      <w:r>
        <w:rPr>
          <w:rFonts w:ascii="Cambria" w:hAnsi="Cambria"/>
          <w:sz w:val="20"/>
          <w:szCs w:val="20"/>
        </w:rPr>
        <w:t xml:space="preserve"> Donghi ha llamado el pacto u orden neocolonial. El contenido de este pacto consistía en que América Latina producía y exportaba materias primas y alimentos para las metrópolis (europeas), e importaba y consumía de ellas producción industrial y bienes de capital. A la ya tradicional comercialización y transporte interoceánico se le sumaron otras actividades que mostraban una mayor penetración de esos sectores extranjeros: explotación de ciertos productos (compañías mineras, centrales azucareras), empresas de especulación inmobiliarias y redes ferroviarias”.</w:t>
      </w:r>
    </w:p>
    <w:p w14:paraId="64BE2E71" w14:textId="6F92927A" w:rsidR="0071535D" w:rsidRDefault="0071535D" w:rsidP="0071535D">
      <w:pPr>
        <w:spacing w:after="0"/>
        <w:jc w:val="right"/>
        <w:rPr>
          <w:rFonts w:ascii="Cambria" w:hAnsi="Cambria"/>
          <w:sz w:val="20"/>
          <w:szCs w:val="20"/>
        </w:rPr>
      </w:pPr>
      <w:proofErr w:type="spellStart"/>
      <w:r>
        <w:rPr>
          <w:rFonts w:ascii="Cambria" w:hAnsi="Cambria"/>
          <w:sz w:val="20"/>
          <w:szCs w:val="20"/>
        </w:rPr>
        <w:t>Gaggero</w:t>
      </w:r>
      <w:proofErr w:type="spellEnd"/>
      <w:r>
        <w:rPr>
          <w:rFonts w:ascii="Cambria" w:hAnsi="Cambria"/>
          <w:sz w:val="20"/>
          <w:szCs w:val="20"/>
        </w:rPr>
        <w:t xml:space="preserve">, Horacio (2001). </w:t>
      </w:r>
      <w:r w:rsidRPr="0071535D">
        <w:rPr>
          <w:rFonts w:ascii="Cambria" w:hAnsi="Cambria"/>
          <w:i/>
          <w:iCs/>
          <w:sz w:val="20"/>
          <w:szCs w:val="20"/>
        </w:rPr>
        <w:t>Historia de América en los siglos XIX y XX</w:t>
      </w:r>
      <w:r>
        <w:rPr>
          <w:rFonts w:ascii="Cambria" w:hAnsi="Cambria"/>
          <w:sz w:val="20"/>
          <w:szCs w:val="20"/>
        </w:rPr>
        <w:t>.</w:t>
      </w:r>
    </w:p>
    <w:p w14:paraId="4775447C" w14:textId="650A4F39" w:rsidR="005720F6" w:rsidRDefault="005720F6" w:rsidP="005720F6">
      <w:pPr>
        <w:spacing w:after="0"/>
        <w:jc w:val="both"/>
        <w:rPr>
          <w:rFonts w:ascii="Cambria" w:hAnsi="Cambria"/>
          <w:sz w:val="20"/>
          <w:szCs w:val="20"/>
        </w:rPr>
      </w:pPr>
    </w:p>
    <w:p w14:paraId="348964DA" w14:textId="44D7BB51" w:rsidR="005720F6" w:rsidRPr="005720F6" w:rsidRDefault="005720F6" w:rsidP="005720F6">
      <w:pPr>
        <w:spacing w:after="0"/>
        <w:jc w:val="both"/>
        <w:rPr>
          <w:rFonts w:ascii="Cambria" w:hAnsi="Cambria"/>
          <w:sz w:val="20"/>
          <w:szCs w:val="20"/>
        </w:rPr>
      </w:pPr>
    </w:p>
    <w:sectPr w:rsidR="005720F6" w:rsidRPr="005720F6" w:rsidSect="0071535D">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C6AA" w14:textId="77777777" w:rsidR="00BC41E1" w:rsidRDefault="00BC41E1" w:rsidP="005720F6">
      <w:pPr>
        <w:spacing w:after="0" w:line="240" w:lineRule="auto"/>
      </w:pPr>
      <w:r>
        <w:separator/>
      </w:r>
    </w:p>
  </w:endnote>
  <w:endnote w:type="continuationSeparator" w:id="0">
    <w:p w14:paraId="30F21BFF" w14:textId="77777777" w:rsidR="00BC41E1" w:rsidRDefault="00BC41E1" w:rsidP="0057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4D36F" w14:textId="77777777" w:rsidR="00BC41E1" w:rsidRDefault="00BC41E1" w:rsidP="005720F6">
      <w:pPr>
        <w:spacing w:after="0" w:line="240" w:lineRule="auto"/>
      </w:pPr>
      <w:r>
        <w:separator/>
      </w:r>
    </w:p>
  </w:footnote>
  <w:footnote w:type="continuationSeparator" w:id="0">
    <w:p w14:paraId="0EB049FE" w14:textId="77777777" w:rsidR="00BC41E1" w:rsidRDefault="00BC41E1" w:rsidP="0057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5264" w14:textId="2DED121F" w:rsidR="005720F6" w:rsidRDefault="0071535D">
    <w:pPr>
      <w:pStyle w:val="Encabezado"/>
    </w:pPr>
    <w:r>
      <w:rPr>
        <w:noProof/>
      </w:rPr>
      <mc:AlternateContent>
        <mc:Choice Requires="wps">
          <w:drawing>
            <wp:anchor distT="0" distB="0" distL="114300" distR="114300" simplePos="0" relativeHeight="251661312" behindDoc="0" locked="0" layoutInCell="1" allowOverlap="1" wp14:anchorId="3B91794C" wp14:editId="21895E22">
              <wp:simplePos x="0" y="0"/>
              <wp:positionH relativeFrom="column">
                <wp:posOffset>4434205</wp:posOffset>
              </wp:positionH>
              <wp:positionV relativeFrom="paragraph">
                <wp:posOffset>-182880</wp:posOffset>
              </wp:positionV>
              <wp:extent cx="1905000" cy="605790"/>
              <wp:effectExtent l="0" t="0" r="0" b="0"/>
              <wp:wrapNone/>
              <wp:docPr id="17683982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59C808E" w14:textId="77777777" w:rsidR="005720F6" w:rsidRPr="00732B2B" w:rsidRDefault="005720F6" w:rsidP="005720F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FFCA4B9" w14:textId="77777777" w:rsidR="005720F6" w:rsidRPr="00732B2B" w:rsidRDefault="005720F6" w:rsidP="005720F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A481E94" w14:textId="77777777" w:rsidR="005720F6" w:rsidRPr="00732B2B" w:rsidRDefault="005720F6" w:rsidP="005720F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B91794C" id="_x0000_t202" coordsize="21600,21600" o:spt="202" path="m,l,21600r21600,l21600,xe">
              <v:stroke joinstyle="miter"/>
              <v:path gradientshapeok="t" o:connecttype="rect"/>
            </v:shapetype>
            <v:shape id="Cuadro de texto 3" o:spid="_x0000_s1026" type="#_x0000_t202" style="position:absolute;margin-left:349.15pt;margin-top:-14.4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" filled="f" stroked="f">
              <v:textbox style="mso-fit-shape-to-text:t">
                <w:txbxContent>
                  <w:p w14:paraId="459C808E" w14:textId="77777777" w:rsidR="005720F6" w:rsidRPr="00732B2B" w:rsidRDefault="005720F6" w:rsidP="005720F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FFCA4B9" w14:textId="77777777" w:rsidR="005720F6" w:rsidRPr="00732B2B" w:rsidRDefault="005720F6" w:rsidP="005720F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A481E94" w14:textId="77777777" w:rsidR="005720F6" w:rsidRPr="00732B2B" w:rsidRDefault="005720F6" w:rsidP="005720F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CB441A" wp14:editId="3220FCB7">
              <wp:simplePos x="0" y="0"/>
              <wp:positionH relativeFrom="column">
                <wp:posOffset>-503555</wp:posOffset>
              </wp:positionH>
              <wp:positionV relativeFrom="paragraph">
                <wp:posOffset>-234315</wp:posOffset>
              </wp:positionV>
              <wp:extent cx="2040890" cy="676275"/>
              <wp:effectExtent l="0" t="0" r="0" b="0"/>
              <wp:wrapNone/>
              <wp:docPr id="13283125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A078518" w14:textId="77777777" w:rsidR="005720F6" w:rsidRDefault="005720F6" w:rsidP="005720F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D89D458" w14:textId="77777777" w:rsidR="005720F6" w:rsidRDefault="005720F6" w:rsidP="005720F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BA3F9A6" w14:textId="77777777" w:rsidR="005720F6" w:rsidRDefault="005720F6" w:rsidP="005720F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048F2E3" wp14:editId="399AD1F8">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7CB441A" id="Cuadro de texto 1" o:spid="_x0000_s1027" type="#_x0000_t202" style="position:absolute;margin-left:-39.65pt;margin-top:-18.4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" filled="f" stroked="f">
              <v:textbox inset="0,0,0,0">
                <w:txbxContent>
                  <w:p w14:paraId="6A078518" w14:textId="77777777" w:rsidR="005720F6" w:rsidRDefault="005720F6" w:rsidP="005720F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D89D458" w14:textId="77777777" w:rsidR="005720F6" w:rsidRDefault="005720F6" w:rsidP="005720F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BA3F9A6" w14:textId="77777777" w:rsidR="005720F6" w:rsidRDefault="005720F6" w:rsidP="005720F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048F2E3" wp14:editId="399AD1F8">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36EC9"/>
    <w:multiLevelType w:val="hybridMultilevel"/>
    <w:tmpl w:val="DF22D4A0"/>
    <w:lvl w:ilvl="0" w:tplc="228CD10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169018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F6"/>
    <w:rsid w:val="004B6D70"/>
    <w:rsid w:val="005206A2"/>
    <w:rsid w:val="005720F6"/>
    <w:rsid w:val="005C31E0"/>
    <w:rsid w:val="0071535D"/>
    <w:rsid w:val="007328DD"/>
    <w:rsid w:val="00922BFA"/>
    <w:rsid w:val="00A970F6"/>
    <w:rsid w:val="00BC41E1"/>
    <w:rsid w:val="00D16163"/>
    <w:rsid w:val="00E85878"/>
    <w:rsid w:val="00EE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E134"/>
  <w15:chartTrackingRefBased/>
  <w15:docId w15:val="{5C9EEC06-C605-4E4D-B559-415CD72C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5720F6"/>
    <w:rPr>
      <w:kern w:val="0"/>
      <w:lang w:val="es-CL"/>
    </w:rPr>
  </w:style>
  <w:style w:type="paragraph" w:styleId="Ttulo1">
    <w:name w:val="heading 1"/>
    <w:basedOn w:val="Normal"/>
    <w:next w:val="Normal"/>
    <w:link w:val="Ttulo1Car"/>
    <w:uiPriority w:val="9"/>
    <w:qFormat/>
    <w:rsid w:val="00572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2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2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2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2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2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2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2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2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20F6"/>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5720F6"/>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5720F6"/>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5720F6"/>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5720F6"/>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5720F6"/>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5720F6"/>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5720F6"/>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5720F6"/>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572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20F6"/>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572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20F6"/>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5720F6"/>
    <w:pPr>
      <w:spacing w:before="160"/>
      <w:jc w:val="center"/>
    </w:pPr>
    <w:rPr>
      <w:i/>
      <w:iCs/>
      <w:color w:val="404040" w:themeColor="text1" w:themeTint="BF"/>
    </w:rPr>
  </w:style>
  <w:style w:type="character" w:customStyle="1" w:styleId="CitaCar">
    <w:name w:val="Cita Car"/>
    <w:basedOn w:val="Fuentedeprrafopredeter"/>
    <w:link w:val="Cita"/>
    <w:uiPriority w:val="29"/>
    <w:rsid w:val="005720F6"/>
    <w:rPr>
      <w:rFonts w:ascii="Cambria" w:hAnsi="Cambria"/>
      <w:i/>
      <w:iCs/>
      <w:color w:val="404040" w:themeColor="text1" w:themeTint="BF"/>
      <w:kern w:val="0"/>
      <w:lang w:val="es-CL"/>
    </w:rPr>
  </w:style>
  <w:style w:type="paragraph" w:styleId="Prrafodelista">
    <w:name w:val="List Paragraph"/>
    <w:basedOn w:val="Normal"/>
    <w:uiPriority w:val="34"/>
    <w:qFormat/>
    <w:rsid w:val="005720F6"/>
    <w:pPr>
      <w:ind w:left="720"/>
      <w:contextualSpacing/>
    </w:pPr>
  </w:style>
  <w:style w:type="character" w:styleId="nfasisintenso">
    <w:name w:val="Intense Emphasis"/>
    <w:basedOn w:val="Fuentedeprrafopredeter"/>
    <w:uiPriority w:val="21"/>
    <w:qFormat/>
    <w:rsid w:val="005720F6"/>
    <w:rPr>
      <w:i/>
      <w:iCs/>
      <w:color w:val="0F4761" w:themeColor="accent1" w:themeShade="BF"/>
    </w:rPr>
  </w:style>
  <w:style w:type="paragraph" w:styleId="Citadestacada">
    <w:name w:val="Intense Quote"/>
    <w:basedOn w:val="Normal"/>
    <w:next w:val="Normal"/>
    <w:link w:val="CitadestacadaCar"/>
    <w:uiPriority w:val="30"/>
    <w:qFormat/>
    <w:rsid w:val="00572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20F6"/>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5720F6"/>
    <w:rPr>
      <w:b/>
      <w:bCs/>
      <w:smallCaps/>
      <w:color w:val="0F4761" w:themeColor="accent1" w:themeShade="BF"/>
      <w:spacing w:val="5"/>
    </w:rPr>
  </w:style>
  <w:style w:type="paragraph" w:styleId="Encabezado">
    <w:name w:val="header"/>
    <w:basedOn w:val="Normal"/>
    <w:link w:val="EncabezadoCar"/>
    <w:uiPriority w:val="99"/>
    <w:unhideWhenUsed/>
    <w:rsid w:val="005720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0F6"/>
    <w:rPr>
      <w:rFonts w:ascii="Cambria" w:hAnsi="Cambria"/>
      <w:kern w:val="0"/>
      <w:lang w:val="es-CL"/>
    </w:rPr>
  </w:style>
  <w:style w:type="paragraph" w:styleId="Piedepgina">
    <w:name w:val="footer"/>
    <w:basedOn w:val="Normal"/>
    <w:link w:val="PiedepginaCar"/>
    <w:uiPriority w:val="99"/>
    <w:unhideWhenUsed/>
    <w:rsid w:val="005720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20F6"/>
    <w:rPr>
      <w:rFonts w:ascii="Cambria" w:hAnsi="Cambria"/>
      <w:kern w:val="0"/>
      <w:lang w:val="es-CL"/>
    </w:rPr>
  </w:style>
  <w:style w:type="table" w:styleId="Tablaconcuadrcula">
    <w:name w:val="Table Grid"/>
    <w:basedOn w:val="Tablanormal"/>
    <w:uiPriority w:val="39"/>
    <w:rsid w:val="005720F6"/>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2024-07-08T22:16:00Z</cp:lastPrinted>
  <dcterms:created xsi:type="dcterms:W3CDTF">2024-07-08T22:16:00Z</dcterms:created>
  <dcterms:modified xsi:type="dcterms:W3CDTF">2024-07-08T22:16:00Z</dcterms:modified>
</cp:coreProperties>
</file>