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9D8E2" w14:textId="7D679A82" w:rsidR="00BA5056" w:rsidRDefault="00BA5056" w:rsidP="00BA5056">
      <w:pPr>
        <w:spacing w:after="0"/>
        <w:jc w:val="center"/>
        <w:rPr>
          <w:rFonts w:ascii="Cambria" w:hAnsi="Cambria"/>
          <w:b/>
          <w:bCs/>
          <w:sz w:val="24"/>
          <w:szCs w:val="24"/>
          <w:u w:val="single"/>
        </w:rPr>
      </w:pPr>
      <w:r>
        <w:rPr>
          <w:rFonts w:ascii="Cambria" w:hAnsi="Cambria"/>
          <w:b/>
          <w:bCs/>
          <w:sz w:val="24"/>
          <w:szCs w:val="24"/>
          <w:u w:val="single"/>
        </w:rPr>
        <w:t>TALLER 17</w:t>
      </w:r>
    </w:p>
    <w:p w14:paraId="64E24D9C" w14:textId="77777777" w:rsidR="00BA5056" w:rsidRDefault="00BA5056" w:rsidP="00BA5056">
      <w:pPr>
        <w:jc w:val="center"/>
        <w:rPr>
          <w:rFonts w:ascii="Cambria" w:hAnsi="Cambria"/>
          <w:b/>
          <w:bCs/>
          <w:sz w:val="24"/>
          <w:szCs w:val="24"/>
          <w:u w:val="single"/>
        </w:rPr>
      </w:pPr>
      <w:r>
        <w:rPr>
          <w:rFonts w:ascii="Cambria" w:hAnsi="Cambria"/>
          <w:b/>
          <w:bCs/>
          <w:sz w:val="24"/>
          <w:szCs w:val="24"/>
          <w:u w:val="single"/>
        </w:rPr>
        <w:t>SITUACIÓN DE LOS DERECHOS LABORALES</w:t>
      </w:r>
    </w:p>
    <w:tbl>
      <w:tblPr>
        <w:tblStyle w:val="Tablaconcuadrcula"/>
        <w:tblW w:w="0" w:type="auto"/>
        <w:tblLook w:val="04A0" w:firstRow="1" w:lastRow="0" w:firstColumn="1" w:lastColumn="0" w:noHBand="0" w:noVBand="1"/>
      </w:tblPr>
      <w:tblGrid>
        <w:gridCol w:w="2207"/>
        <w:gridCol w:w="2207"/>
        <w:gridCol w:w="2207"/>
        <w:gridCol w:w="2207"/>
      </w:tblGrid>
      <w:tr w:rsidR="00BA5056" w:rsidRPr="007B3509" w14:paraId="178ECAAC" w14:textId="77777777">
        <w:tc>
          <w:tcPr>
            <w:tcW w:w="8828" w:type="dxa"/>
            <w:gridSpan w:val="4"/>
          </w:tcPr>
          <w:p w14:paraId="58C84F15" w14:textId="77777777" w:rsidR="00BA5056" w:rsidRPr="007B3509" w:rsidRDefault="00BA5056">
            <w:pPr>
              <w:jc w:val="both"/>
              <w:rPr>
                <w:rFonts w:ascii="Cambria" w:hAnsi="Cambria"/>
              </w:rPr>
            </w:pPr>
            <w:r w:rsidRPr="007B3509">
              <w:rPr>
                <w:rFonts w:ascii="Cambria" w:hAnsi="Cambria"/>
              </w:rPr>
              <w:t>Nombre</w:t>
            </w:r>
          </w:p>
        </w:tc>
      </w:tr>
      <w:tr w:rsidR="00BA5056" w:rsidRPr="007B3509" w14:paraId="161DB8E2" w14:textId="77777777">
        <w:tc>
          <w:tcPr>
            <w:tcW w:w="2207" w:type="dxa"/>
          </w:tcPr>
          <w:p w14:paraId="5C01ED7E" w14:textId="77777777" w:rsidR="00BA5056" w:rsidRPr="007B3509" w:rsidRDefault="00BA5056">
            <w:pPr>
              <w:jc w:val="both"/>
              <w:rPr>
                <w:rFonts w:ascii="Cambria" w:hAnsi="Cambria"/>
              </w:rPr>
            </w:pPr>
            <w:r w:rsidRPr="007B3509">
              <w:rPr>
                <w:rFonts w:ascii="Cambria" w:hAnsi="Cambria"/>
              </w:rPr>
              <w:t>Puntaje total</w:t>
            </w:r>
          </w:p>
        </w:tc>
        <w:tc>
          <w:tcPr>
            <w:tcW w:w="2207" w:type="dxa"/>
          </w:tcPr>
          <w:p w14:paraId="5100DFC7" w14:textId="2A546BED" w:rsidR="00BA5056" w:rsidRPr="007B3509" w:rsidRDefault="00BA5056">
            <w:pPr>
              <w:jc w:val="both"/>
              <w:rPr>
                <w:rFonts w:ascii="Cambria" w:hAnsi="Cambria"/>
              </w:rPr>
            </w:pPr>
            <w:r>
              <w:rPr>
                <w:rFonts w:ascii="Cambria" w:hAnsi="Cambria"/>
              </w:rPr>
              <w:t>2</w:t>
            </w:r>
            <w:r w:rsidR="00192021">
              <w:rPr>
                <w:rFonts w:ascii="Cambria" w:hAnsi="Cambria"/>
              </w:rPr>
              <w:t>7</w:t>
            </w:r>
            <w:r>
              <w:rPr>
                <w:rFonts w:ascii="Cambria" w:hAnsi="Cambria"/>
              </w:rPr>
              <w:t xml:space="preserve"> pts.</w:t>
            </w:r>
          </w:p>
        </w:tc>
        <w:tc>
          <w:tcPr>
            <w:tcW w:w="2207" w:type="dxa"/>
          </w:tcPr>
          <w:p w14:paraId="2995A970" w14:textId="77777777" w:rsidR="00BA5056" w:rsidRPr="007B3509" w:rsidRDefault="00BA5056">
            <w:pPr>
              <w:jc w:val="both"/>
              <w:rPr>
                <w:rFonts w:ascii="Cambria" w:hAnsi="Cambria"/>
              </w:rPr>
            </w:pPr>
            <w:r w:rsidRPr="007B3509">
              <w:rPr>
                <w:rFonts w:ascii="Cambria" w:hAnsi="Cambria"/>
              </w:rPr>
              <w:t>Fecha</w:t>
            </w:r>
          </w:p>
        </w:tc>
        <w:tc>
          <w:tcPr>
            <w:tcW w:w="2207" w:type="dxa"/>
          </w:tcPr>
          <w:p w14:paraId="6D9206DA" w14:textId="269FEF87" w:rsidR="00BA5056" w:rsidRPr="007B3509" w:rsidRDefault="00BA5056">
            <w:pPr>
              <w:jc w:val="both"/>
              <w:rPr>
                <w:rFonts w:ascii="Cambria" w:hAnsi="Cambria"/>
              </w:rPr>
            </w:pPr>
            <w:r>
              <w:rPr>
                <w:rFonts w:ascii="Cambria" w:hAnsi="Cambria"/>
              </w:rPr>
              <w:t>11</w:t>
            </w:r>
            <w:r w:rsidRPr="007B3509">
              <w:rPr>
                <w:rFonts w:ascii="Cambria" w:hAnsi="Cambria"/>
              </w:rPr>
              <w:t>/</w:t>
            </w:r>
            <w:r>
              <w:rPr>
                <w:rFonts w:ascii="Cambria" w:hAnsi="Cambria"/>
              </w:rPr>
              <w:t>10</w:t>
            </w:r>
            <w:r w:rsidRPr="007B3509">
              <w:rPr>
                <w:rFonts w:ascii="Cambria" w:hAnsi="Cambria"/>
              </w:rPr>
              <w:t>/202</w:t>
            </w:r>
            <w:r>
              <w:rPr>
                <w:rFonts w:ascii="Cambria" w:hAnsi="Cambria"/>
              </w:rPr>
              <w:t>4</w:t>
            </w:r>
          </w:p>
        </w:tc>
      </w:tr>
      <w:tr w:rsidR="00BA5056" w:rsidRPr="007B3509" w14:paraId="353F6A48" w14:textId="77777777">
        <w:tc>
          <w:tcPr>
            <w:tcW w:w="2207" w:type="dxa"/>
          </w:tcPr>
          <w:p w14:paraId="0D4A67EF" w14:textId="77777777" w:rsidR="00BA5056" w:rsidRPr="007B3509" w:rsidRDefault="00BA5056">
            <w:pPr>
              <w:jc w:val="both"/>
              <w:rPr>
                <w:rFonts w:ascii="Cambria" w:hAnsi="Cambria"/>
              </w:rPr>
            </w:pPr>
            <w:r w:rsidRPr="007B3509">
              <w:rPr>
                <w:rFonts w:ascii="Cambria" w:hAnsi="Cambria"/>
              </w:rPr>
              <w:t>Puntaje obtenido</w:t>
            </w:r>
          </w:p>
        </w:tc>
        <w:tc>
          <w:tcPr>
            <w:tcW w:w="2207" w:type="dxa"/>
          </w:tcPr>
          <w:p w14:paraId="7A81E748" w14:textId="77777777" w:rsidR="00BA5056" w:rsidRPr="007B3509" w:rsidRDefault="00BA5056">
            <w:pPr>
              <w:jc w:val="both"/>
              <w:rPr>
                <w:rFonts w:ascii="Cambria" w:hAnsi="Cambria"/>
              </w:rPr>
            </w:pPr>
          </w:p>
        </w:tc>
        <w:tc>
          <w:tcPr>
            <w:tcW w:w="2207" w:type="dxa"/>
          </w:tcPr>
          <w:p w14:paraId="64929C7B" w14:textId="77777777" w:rsidR="00BA5056" w:rsidRPr="007B3509" w:rsidRDefault="00BA5056">
            <w:pPr>
              <w:jc w:val="both"/>
              <w:rPr>
                <w:rFonts w:ascii="Cambria" w:hAnsi="Cambria"/>
              </w:rPr>
            </w:pPr>
            <w:r w:rsidRPr="007B3509">
              <w:rPr>
                <w:rFonts w:ascii="Cambria" w:hAnsi="Cambria"/>
              </w:rPr>
              <w:t>Calificación</w:t>
            </w:r>
          </w:p>
        </w:tc>
        <w:tc>
          <w:tcPr>
            <w:tcW w:w="2207" w:type="dxa"/>
          </w:tcPr>
          <w:p w14:paraId="678A071A" w14:textId="77777777" w:rsidR="00BA5056" w:rsidRPr="007B3509" w:rsidRDefault="00BA5056">
            <w:pPr>
              <w:jc w:val="both"/>
              <w:rPr>
                <w:rFonts w:ascii="Cambria" w:hAnsi="Cambria"/>
              </w:rPr>
            </w:pPr>
          </w:p>
        </w:tc>
      </w:tr>
    </w:tbl>
    <w:p w14:paraId="5CDD0CF8" w14:textId="77777777" w:rsidR="00BA5056" w:rsidRPr="008A0E46" w:rsidRDefault="00BA5056" w:rsidP="00BA5056">
      <w:pPr>
        <w:spacing w:before="240"/>
        <w:jc w:val="both"/>
        <w:rPr>
          <w:rFonts w:ascii="Cambria" w:hAnsi="Cambria"/>
          <w:b/>
          <w:bCs/>
          <w:sz w:val="20"/>
          <w:szCs w:val="20"/>
        </w:rPr>
      </w:pPr>
      <w:r w:rsidRPr="008A0E46">
        <w:rPr>
          <w:rFonts w:ascii="Cambria" w:hAnsi="Cambria"/>
          <w:b/>
          <w:bCs/>
          <w:sz w:val="20"/>
          <w:szCs w:val="20"/>
        </w:rPr>
        <w:t xml:space="preserve">Objetivo: </w:t>
      </w:r>
      <w:r>
        <w:rPr>
          <w:rFonts w:ascii="Cambria" w:hAnsi="Cambria"/>
          <w:b/>
          <w:bCs/>
          <w:sz w:val="20"/>
          <w:szCs w:val="20"/>
        </w:rPr>
        <w:t>Caracterizar la situación de los derechos laborales en Chile y el mundo a través de fuentes para participar asumiendo posturas razonadas en distintos ámbitos</w:t>
      </w:r>
    </w:p>
    <w:p w14:paraId="27476481" w14:textId="77777777" w:rsidR="00BA5056" w:rsidRPr="008A0E46" w:rsidRDefault="00BA5056" w:rsidP="00BA5056">
      <w:pPr>
        <w:spacing w:after="0"/>
        <w:jc w:val="both"/>
        <w:rPr>
          <w:rFonts w:ascii="Cambria" w:hAnsi="Cambria"/>
          <w:b/>
          <w:bCs/>
          <w:sz w:val="20"/>
          <w:szCs w:val="20"/>
        </w:rPr>
      </w:pPr>
      <w:r w:rsidRPr="008A0E46">
        <w:rPr>
          <w:rFonts w:ascii="Cambria" w:hAnsi="Cambria"/>
          <w:b/>
          <w:bCs/>
          <w:sz w:val="20"/>
          <w:szCs w:val="20"/>
        </w:rPr>
        <w:t>Instrucciones:</w:t>
      </w:r>
    </w:p>
    <w:p w14:paraId="78E77D9B" w14:textId="70541CA8" w:rsidR="00BA5056" w:rsidRDefault="00BA5056" w:rsidP="00BA5056">
      <w:pPr>
        <w:pStyle w:val="Prrafodelista"/>
        <w:numPr>
          <w:ilvl w:val="0"/>
          <w:numId w:val="1"/>
        </w:numPr>
        <w:spacing w:after="0"/>
        <w:jc w:val="both"/>
        <w:rPr>
          <w:rFonts w:ascii="Cambria" w:hAnsi="Cambria"/>
          <w:sz w:val="20"/>
          <w:szCs w:val="20"/>
        </w:rPr>
      </w:pPr>
      <w:r>
        <w:rPr>
          <w:rFonts w:ascii="Cambria" w:hAnsi="Cambria"/>
          <w:sz w:val="20"/>
          <w:szCs w:val="20"/>
        </w:rPr>
        <w:t xml:space="preserve">En parejas lean las fuentes y realicen un </w:t>
      </w:r>
      <w:r w:rsidR="00192021">
        <w:rPr>
          <w:rFonts w:ascii="Cambria" w:hAnsi="Cambria"/>
          <w:sz w:val="20"/>
          <w:szCs w:val="20"/>
        </w:rPr>
        <w:t>mapa mental</w:t>
      </w:r>
      <w:r>
        <w:rPr>
          <w:rFonts w:ascii="Cambria" w:hAnsi="Cambria"/>
          <w:sz w:val="20"/>
          <w:szCs w:val="20"/>
        </w:rPr>
        <w:t xml:space="preserve"> sobre la situación de los derechos laborales en chile considerando</w:t>
      </w:r>
      <w:r w:rsidR="00006C60">
        <w:rPr>
          <w:rFonts w:ascii="Cambria" w:hAnsi="Cambria"/>
          <w:sz w:val="20"/>
          <w:szCs w:val="20"/>
        </w:rPr>
        <w:t xml:space="preserve"> los siguientes elementos</w:t>
      </w:r>
    </w:p>
    <w:p w14:paraId="6C3B9B4F" w14:textId="65363BE0" w:rsidR="00123803" w:rsidRDefault="00123803" w:rsidP="00123803">
      <w:pPr>
        <w:pStyle w:val="Prrafodelista"/>
        <w:numPr>
          <w:ilvl w:val="0"/>
          <w:numId w:val="3"/>
        </w:numPr>
        <w:spacing w:after="0"/>
        <w:jc w:val="both"/>
        <w:rPr>
          <w:rFonts w:ascii="Cambria" w:hAnsi="Cambria"/>
          <w:sz w:val="20"/>
          <w:szCs w:val="20"/>
        </w:rPr>
      </w:pPr>
      <w:r>
        <w:rPr>
          <w:rFonts w:ascii="Cambria" w:hAnsi="Cambria"/>
          <w:sz w:val="20"/>
          <w:szCs w:val="20"/>
        </w:rPr>
        <w:t>P</w:t>
      </w:r>
      <w:r w:rsidRPr="00123803">
        <w:rPr>
          <w:rFonts w:ascii="Cambria" w:hAnsi="Cambria"/>
          <w:sz w:val="20"/>
          <w:szCs w:val="20"/>
        </w:rPr>
        <w:t>rincipales características del trabajo infantil en Chile</w:t>
      </w:r>
    </w:p>
    <w:p w14:paraId="69021318" w14:textId="443C245E" w:rsidR="00123803" w:rsidRDefault="00123803" w:rsidP="00123803">
      <w:pPr>
        <w:pStyle w:val="Prrafodelista"/>
        <w:numPr>
          <w:ilvl w:val="0"/>
          <w:numId w:val="3"/>
        </w:numPr>
        <w:spacing w:after="0"/>
        <w:jc w:val="both"/>
        <w:rPr>
          <w:rFonts w:ascii="Cambria" w:hAnsi="Cambria"/>
          <w:sz w:val="20"/>
          <w:szCs w:val="20"/>
        </w:rPr>
      </w:pPr>
      <w:r>
        <w:rPr>
          <w:rFonts w:ascii="Cambria" w:hAnsi="Cambria"/>
          <w:sz w:val="20"/>
          <w:szCs w:val="20"/>
        </w:rPr>
        <w:t>D</w:t>
      </w:r>
      <w:r w:rsidRPr="00123803">
        <w:rPr>
          <w:rFonts w:ascii="Cambria" w:hAnsi="Cambria"/>
          <w:sz w:val="20"/>
          <w:szCs w:val="20"/>
        </w:rPr>
        <w:t>iferencia en la cantidad de horas trabajadas entre hombres y mujeres en relación al trabajo no remunerado</w:t>
      </w:r>
    </w:p>
    <w:p w14:paraId="4AEB3F71" w14:textId="374E94AB" w:rsidR="00123803" w:rsidRDefault="00123803" w:rsidP="00123803">
      <w:pPr>
        <w:pStyle w:val="Prrafodelista"/>
        <w:numPr>
          <w:ilvl w:val="0"/>
          <w:numId w:val="3"/>
        </w:numPr>
        <w:spacing w:after="0"/>
        <w:jc w:val="both"/>
        <w:rPr>
          <w:rFonts w:ascii="Cambria" w:hAnsi="Cambria"/>
          <w:sz w:val="20"/>
          <w:szCs w:val="20"/>
        </w:rPr>
      </w:pPr>
      <w:r>
        <w:rPr>
          <w:rFonts w:ascii="Cambria" w:hAnsi="Cambria"/>
          <w:sz w:val="20"/>
          <w:szCs w:val="20"/>
        </w:rPr>
        <w:t>I</w:t>
      </w:r>
      <w:r w:rsidRPr="00123803">
        <w:rPr>
          <w:rFonts w:ascii="Cambria" w:hAnsi="Cambria"/>
          <w:sz w:val="20"/>
          <w:szCs w:val="20"/>
        </w:rPr>
        <w:t>mpacto</w:t>
      </w:r>
      <w:r>
        <w:rPr>
          <w:rFonts w:ascii="Cambria" w:hAnsi="Cambria"/>
          <w:sz w:val="20"/>
          <w:szCs w:val="20"/>
        </w:rPr>
        <w:t xml:space="preserve"> que</w:t>
      </w:r>
      <w:r w:rsidRPr="00123803">
        <w:rPr>
          <w:rFonts w:ascii="Cambria" w:hAnsi="Cambria"/>
          <w:sz w:val="20"/>
          <w:szCs w:val="20"/>
        </w:rPr>
        <w:t xml:space="preserve"> ha tenido la subcontratación en los derechos laborales en Chile</w:t>
      </w:r>
    </w:p>
    <w:p w14:paraId="0B260BE3" w14:textId="04AEBF12" w:rsidR="00123803" w:rsidRDefault="00123803" w:rsidP="00123803">
      <w:pPr>
        <w:pStyle w:val="Prrafodelista"/>
        <w:numPr>
          <w:ilvl w:val="0"/>
          <w:numId w:val="3"/>
        </w:numPr>
        <w:spacing w:after="0"/>
        <w:jc w:val="both"/>
        <w:rPr>
          <w:rFonts w:ascii="Cambria" w:hAnsi="Cambria"/>
          <w:sz w:val="20"/>
          <w:szCs w:val="20"/>
        </w:rPr>
      </w:pPr>
      <w:r w:rsidRPr="00123803">
        <w:rPr>
          <w:rFonts w:ascii="Cambria" w:hAnsi="Cambria"/>
          <w:sz w:val="20"/>
          <w:szCs w:val="20"/>
        </w:rPr>
        <w:t>Ley de Teletrabajo en Chile</w:t>
      </w:r>
    </w:p>
    <w:p w14:paraId="78B3C1AD" w14:textId="103A8C32" w:rsidR="00123803" w:rsidRDefault="00123803" w:rsidP="00123803">
      <w:pPr>
        <w:pStyle w:val="Prrafodelista"/>
        <w:numPr>
          <w:ilvl w:val="0"/>
          <w:numId w:val="3"/>
        </w:numPr>
        <w:spacing w:after="0"/>
        <w:jc w:val="both"/>
        <w:rPr>
          <w:rFonts w:ascii="Cambria" w:hAnsi="Cambria"/>
          <w:sz w:val="20"/>
          <w:szCs w:val="20"/>
        </w:rPr>
      </w:pPr>
      <w:r w:rsidRPr="00123803">
        <w:rPr>
          <w:rFonts w:ascii="Cambria" w:hAnsi="Cambria"/>
          <w:sz w:val="20"/>
          <w:szCs w:val="20"/>
        </w:rPr>
        <w:t xml:space="preserve">Propón estrategias para reducir </w:t>
      </w:r>
      <w:r>
        <w:rPr>
          <w:rFonts w:ascii="Cambria" w:hAnsi="Cambria"/>
          <w:sz w:val="20"/>
          <w:szCs w:val="20"/>
        </w:rPr>
        <w:t>las problemáticas planteadas</w:t>
      </w:r>
    </w:p>
    <w:p w14:paraId="14761A34" w14:textId="21932189" w:rsidR="00BA5056" w:rsidRDefault="00BA5056" w:rsidP="00BA5056">
      <w:pPr>
        <w:spacing w:after="0"/>
        <w:jc w:val="both"/>
        <w:rPr>
          <w:rFonts w:ascii="Cambria" w:hAnsi="Cambria"/>
          <w:sz w:val="20"/>
          <w:szCs w:val="20"/>
        </w:rPr>
      </w:pPr>
      <w:r>
        <w:rPr>
          <w:rFonts w:ascii="Cambria" w:hAnsi="Cambria"/>
          <w:sz w:val="20"/>
          <w:szCs w:val="20"/>
        </w:rPr>
        <w:t>Fuente 1:</w:t>
      </w:r>
    </w:p>
    <w:p w14:paraId="5745B5B9" w14:textId="62453B7A" w:rsidR="00BA5056" w:rsidRDefault="00BA5056" w:rsidP="00BA5056">
      <w:pPr>
        <w:spacing w:after="0"/>
        <w:jc w:val="both"/>
        <w:rPr>
          <w:rFonts w:ascii="Cambria" w:hAnsi="Cambria"/>
          <w:sz w:val="20"/>
          <w:szCs w:val="20"/>
        </w:rPr>
      </w:pPr>
      <w:r>
        <w:rPr>
          <w:rFonts w:ascii="Cambria" w:hAnsi="Cambria"/>
          <w:sz w:val="20"/>
          <w:szCs w:val="20"/>
        </w:rPr>
        <w:t>“En comparación con la realidad latinoamericana, Chile es uno de los países con menos población infantil trabajadora en la región, como lo señalan datos del 2018 del Ministerio del Trabajo y Previsión Social, que indican que 220 mil niños entre 9 y 17 años trabajan.</w:t>
      </w:r>
    </w:p>
    <w:p w14:paraId="61AB7D49" w14:textId="548AB8A7" w:rsidR="00BA5056" w:rsidRDefault="00BA5056" w:rsidP="00BA5056">
      <w:pPr>
        <w:spacing w:after="0"/>
        <w:jc w:val="both"/>
        <w:rPr>
          <w:rFonts w:ascii="Cambria" w:hAnsi="Cambria"/>
          <w:sz w:val="20"/>
          <w:szCs w:val="20"/>
        </w:rPr>
      </w:pPr>
      <w:r>
        <w:rPr>
          <w:rFonts w:ascii="Cambria" w:hAnsi="Cambria"/>
          <w:sz w:val="20"/>
          <w:szCs w:val="20"/>
        </w:rPr>
        <w:t>El 26% de entre 15 y 17 años, en su mayoría niñas, realizan labores de cuidado de otras personas, que pueden ser menores como ellos, enfermos o ancianos. En tanto, a nivel general, los niños se desempeñan en el comercio (almacenes familiares, negocios, ferias libres, mercados) como vendedores ambulantes y en el sector agrícola.</w:t>
      </w:r>
    </w:p>
    <w:p w14:paraId="2904EEFD" w14:textId="795882EA" w:rsidR="00BA5056" w:rsidRDefault="00BA5056" w:rsidP="00BA5056">
      <w:pPr>
        <w:spacing w:after="0"/>
        <w:jc w:val="both"/>
        <w:rPr>
          <w:rFonts w:ascii="Cambria" w:hAnsi="Cambria"/>
          <w:sz w:val="20"/>
          <w:szCs w:val="20"/>
        </w:rPr>
      </w:pPr>
      <w:r>
        <w:rPr>
          <w:rFonts w:ascii="Cambria" w:hAnsi="Cambria"/>
          <w:sz w:val="20"/>
          <w:szCs w:val="20"/>
        </w:rPr>
        <w:t>A esas cifras se suma que el 6,9% de la población entre 5 y 17 años se ven obligados a trabajar, de los cuales tan solo el 0,3% lo hace de manera protegida. Por lo mismo, el 2018 se registraron 73 denuncias por vulneración de la normativa laboral en materia de trabajo infantil ante la Dirección del Trabajo”.</w:t>
      </w:r>
    </w:p>
    <w:p w14:paraId="02D4B7A5" w14:textId="2BC53E25" w:rsidR="00BA5056" w:rsidRDefault="00BA5056" w:rsidP="00BA5056">
      <w:pPr>
        <w:spacing w:after="0"/>
        <w:jc w:val="right"/>
        <w:rPr>
          <w:rFonts w:ascii="Cambria" w:hAnsi="Cambria"/>
          <w:sz w:val="20"/>
          <w:szCs w:val="20"/>
        </w:rPr>
      </w:pPr>
      <w:r>
        <w:rPr>
          <w:rFonts w:ascii="Cambria" w:hAnsi="Cambria"/>
          <w:sz w:val="20"/>
          <w:szCs w:val="20"/>
        </w:rPr>
        <w:t>Radio Juan Gómez Millas (2019).</w:t>
      </w:r>
    </w:p>
    <w:p w14:paraId="69990423" w14:textId="3D9672CA" w:rsidR="00BA5056" w:rsidRDefault="00BA5056" w:rsidP="00BA5056">
      <w:pPr>
        <w:spacing w:after="0"/>
        <w:jc w:val="both"/>
        <w:rPr>
          <w:rFonts w:ascii="Cambria" w:hAnsi="Cambria"/>
          <w:sz w:val="20"/>
          <w:szCs w:val="20"/>
        </w:rPr>
      </w:pPr>
      <w:r>
        <w:rPr>
          <w:rFonts w:ascii="Cambria" w:hAnsi="Cambria"/>
          <w:sz w:val="20"/>
          <w:szCs w:val="20"/>
        </w:rPr>
        <w:t>Fuente 2:</w:t>
      </w:r>
    </w:p>
    <w:p w14:paraId="14FEBDA0" w14:textId="4596B474" w:rsidR="00BA5056" w:rsidRDefault="00BA5056" w:rsidP="00BA5056">
      <w:pPr>
        <w:spacing w:after="0"/>
        <w:jc w:val="both"/>
        <w:rPr>
          <w:rFonts w:ascii="Cambria" w:hAnsi="Cambria"/>
          <w:sz w:val="20"/>
          <w:szCs w:val="20"/>
        </w:rPr>
      </w:pPr>
      <w:r>
        <w:rPr>
          <w:rFonts w:ascii="Cambria" w:hAnsi="Cambria"/>
          <w:sz w:val="20"/>
          <w:szCs w:val="20"/>
        </w:rPr>
        <w:t>“En Chile, solo ha existido una instancia de medición para el trabajo no remunerado a nivel nacional: la Encuesta Nacional de Uso de Tiempo (ENUT, 2015) que es representativa solo a nivel nacional urbano. De acuerdo a la ENUT, una mujer ‘desocupada’ para las estadísticas usuales (es decir sin trabajo remunerado), trabaja aproximadamente entre 6,5 y 7 horas (un día de semana) mientras que un hombre sin trabajo remunerado trabaja menos de tres. Considerando el total de horas trabajadas en un día de semana (tanto en labores remuneradas como no remuneradas), las mujeres superan a los hombres en aproximadamente 17%. Asimismo, el trabajo no remunerado total (realizado tanto por hombres como por mujeres) es aproximadamente el 50% del trabajo que se realiza en un día de la semana en Chile”.</w:t>
      </w:r>
    </w:p>
    <w:p w14:paraId="5941BCCB" w14:textId="342B6EB8" w:rsidR="00BA5056" w:rsidRDefault="00BA5056" w:rsidP="00BA5056">
      <w:pPr>
        <w:spacing w:after="0"/>
        <w:jc w:val="right"/>
        <w:rPr>
          <w:rFonts w:ascii="Cambria" w:hAnsi="Cambria"/>
          <w:sz w:val="20"/>
          <w:szCs w:val="20"/>
        </w:rPr>
      </w:pPr>
      <w:r>
        <w:rPr>
          <w:rFonts w:ascii="Cambria" w:hAnsi="Cambria"/>
          <w:sz w:val="20"/>
          <w:szCs w:val="20"/>
        </w:rPr>
        <w:t xml:space="preserve">Moreno, Trinidad (2018). </w:t>
      </w:r>
      <w:r w:rsidRPr="00BA5056">
        <w:rPr>
          <w:rFonts w:ascii="Cambria" w:hAnsi="Cambria"/>
          <w:i/>
          <w:iCs/>
          <w:sz w:val="20"/>
          <w:szCs w:val="20"/>
        </w:rPr>
        <w:t>La mitad invisible: mujeres y el trabajo no remunerado</w:t>
      </w:r>
      <w:r>
        <w:rPr>
          <w:rFonts w:ascii="Cambria" w:hAnsi="Cambria"/>
          <w:sz w:val="20"/>
          <w:szCs w:val="20"/>
        </w:rPr>
        <w:t>.</w:t>
      </w:r>
    </w:p>
    <w:p w14:paraId="1852112E" w14:textId="4E8681DB" w:rsidR="001C5762" w:rsidRDefault="001C5762" w:rsidP="001C5762">
      <w:pPr>
        <w:spacing w:after="0"/>
        <w:jc w:val="both"/>
        <w:rPr>
          <w:rFonts w:ascii="Cambria" w:hAnsi="Cambria"/>
          <w:sz w:val="20"/>
          <w:szCs w:val="20"/>
        </w:rPr>
      </w:pPr>
      <w:r>
        <w:rPr>
          <w:rFonts w:ascii="Cambria" w:hAnsi="Cambria"/>
          <w:sz w:val="20"/>
          <w:szCs w:val="20"/>
        </w:rPr>
        <w:t>Fuente 3:</w:t>
      </w:r>
    </w:p>
    <w:p w14:paraId="5B0E783A" w14:textId="481D7A14" w:rsidR="001C5762" w:rsidRDefault="001C5762" w:rsidP="001C5762">
      <w:pPr>
        <w:spacing w:after="0"/>
        <w:jc w:val="both"/>
        <w:rPr>
          <w:rFonts w:ascii="Cambria" w:hAnsi="Cambria"/>
          <w:sz w:val="20"/>
          <w:szCs w:val="20"/>
        </w:rPr>
      </w:pPr>
      <w:r>
        <w:rPr>
          <w:rFonts w:ascii="Cambria" w:hAnsi="Cambria"/>
          <w:sz w:val="20"/>
          <w:szCs w:val="20"/>
        </w:rPr>
        <w:t>“En la mayoría de los países del mundo la externalización (en inglés ‘outsourcing’) funciona principalmente como un mecanismo de encadenamiento productivo entre empresas, privilegiando la dimensión comercial de esta relación. Los niveles de flexibilidad y el escaso poder negociador de los trabajadores en nuestro país han hecho que el énfasis de esta relación esté en la subordinación de los trabajadores externos a la empresa mandante. En un escenario de la alta flexibilidad laboral, como en Chile, la subcontratación se ha convertido en una cortina de humo para ocultar la relación de subordinación y dependencia directa en que entran los trabajadores con la mandante.</w:t>
      </w:r>
    </w:p>
    <w:p w14:paraId="34956195" w14:textId="1CAD1F37" w:rsidR="001C5762" w:rsidRDefault="001C5762" w:rsidP="001C5762">
      <w:pPr>
        <w:spacing w:after="0"/>
        <w:jc w:val="both"/>
        <w:rPr>
          <w:rFonts w:ascii="Cambria" w:hAnsi="Cambria"/>
          <w:sz w:val="20"/>
          <w:szCs w:val="20"/>
        </w:rPr>
      </w:pPr>
      <w:r>
        <w:rPr>
          <w:rFonts w:ascii="Cambria" w:hAnsi="Cambria"/>
          <w:sz w:val="20"/>
          <w:szCs w:val="20"/>
        </w:rPr>
        <w:t>En este escenario, el derecho a huelga pasa a ser central, pues invoca un derecho humano fundamental, que no solo afecta a los trabajadores sindicalizados, sino a todo un pueblo, pues es un mecanismo histórico organización popular que supera con creces el mero ámbito laboral”.</w:t>
      </w:r>
    </w:p>
    <w:p w14:paraId="763DFF1A" w14:textId="15675B77" w:rsidR="001C5762" w:rsidRDefault="001C5762" w:rsidP="001C5762">
      <w:pPr>
        <w:spacing w:after="0"/>
        <w:jc w:val="right"/>
        <w:rPr>
          <w:rFonts w:ascii="Cambria" w:hAnsi="Cambria"/>
          <w:sz w:val="20"/>
          <w:szCs w:val="20"/>
        </w:rPr>
      </w:pPr>
      <w:r>
        <w:rPr>
          <w:rFonts w:ascii="Cambria" w:hAnsi="Cambria"/>
          <w:sz w:val="20"/>
          <w:szCs w:val="20"/>
        </w:rPr>
        <w:t xml:space="preserve">Fundación Sol (2015). </w:t>
      </w:r>
      <w:r w:rsidRPr="001C5762">
        <w:rPr>
          <w:rFonts w:ascii="Cambria" w:hAnsi="Cambria"/>
          <w:i/>
          <w:iCs/>
          <w:sz w:val="20"/>
          <w:szCs w:val="20"/>
        </w:rPr>
        <w:t>Trabajadores de primera y segunda categoría</w:t>
      </w:r>
      <w:r>
        <w:rPr>
          <w:rFonts w:ascii="Cambria" w:hAnsi="Cambria"/>
          <w:sz w:val="20"/>
          <w:szCs w:val="20"/>
        </w:rPr>
        <w:t>.</w:t>
      </w:r>
    </w:p>
    <w:p w14:paraId="7E5D5114" w14:textId="623D7BC6" w:rsidR="001C5762" w:rsidRDefault="001C5762" w:rsidP="001C5762">
      <w:pPr>
        <w:spacing w:after="0"/>
        <w:jc w:val="both"/>
        <w:rPr>
          <w:rFonts w:ascii="Cambria" w:hAnsi="Cambria"/>
          <w:sz w:val="20"/>
          <w:szCs w:val="20"/>
        </w:rPr>
      </w:pPr>
      <w:r>
        <w:rPr>
          <w:rFonts w:ascii="Cambria" w:hAnsi="Cambria"/>
          <w:sz w:val="20"/>
          <w:szCs w:val="20"/>
        </w:rPr>
        <w:t>Fuente 4:</w:t>
      </w:r>
    </w:p>
    <w:p w14:paraId="0B61B455" w14:textId="1362D05C" w:rsidR="001C5762" w:rsidRDefault="001C5762" w:rsidP="001C5762">
      <w:pPr>
        <w:spacing w:after="0"/>
        <w:jc w:val="both"/>
        <w:rPr>
          <w:rFonts w:ascii="Cambria" w:hAnsi="Cambria"/>
          <w:sz w:val="20"/>
          <w:szCs w:val="20"/>
        </w:rPr>
      </w:pPr>
      <w:r>
        <w:rPr>
          <w:rFonts w:ascii="Cambria" w:hAnsi="Cambria"/>
          <w:sz w:val="20"/>
          <w:szCs w:val="20"/>
        </w:rPr>
        <w:t xml:space="preserve">“Las reglas que rigen la jornada laboral de las y los teletrabajadores son el mejor ejemplo de la insuficiencia de la nueva Ley de Teletrabajo, promulgada en marzo de 2020. La investigación, ha demostrado que el teletrabajo suele conllevar una extensión de las horas totales de trabajo, porque es utilizado como complemento de las actividades realizadas en las instalaciones de la empresa o exige una conexión permanente (ej., chequear mails o revisar </w:t>
      </w:r>
      <w:proofErr w:type="spellStart"/>
      <w:r>
        <w:rPr>
          <w:rFonts w:ascii="Cambria" w:hAnsi="Cambria"/>
          <w:sz w:val="20"/>
          <w:szCs w:val="20"/>
        </w:rPr>
        <w:t>Whatsapp</w:t>
      </w:r>
      <w:proofErr w:type="spellEnd"/>
      <w:r>
        <w:rPr>
          <w:rFonts w:ascii="Cambria" w:hAnsi="Cambria"/>
          <w:sz w:val="20"/>
          <w:szCs w:val="20"/>
        </w:rPr>
        <w:t xml:space="preserve">). Así lo plantea, por ejemplo, un estudio reciente de la OIT, que sintetiza la evidencia existente para distintos países. En prácticamente todos los casos, este estudio encontró diferencias en la jornada de trabajadores normales y teletrabajadores. En </w:t>
      </w:r>
      <w:r>
        <w:rPr>
          <w:rFonts w:ascii="Cambria" w:hAnsi="Cambria"/>
          <w:sz w:val="20"/>
          <w:szCs w:val="20"/>
        </w:rPr>
        <w:lastRenderedPageBreak/>
        <w:t>países como Japón estas diferencias eran abismantes, siendo la jornada semanal de los teletrabajadores en promedio 7 horas más largas que la jornada legal.</w:t>
      </w:r>
    </w:p>
    <w:p w14:paraId="410206B5" w14:textId="20CF31AB" w:rsidR="001C5762" w:rsidRDefault="001C5762" w:rsidP="001C5762">
      <w:pPr>
        <w:spacing w:after="0"/>
        <w:jc w:val="both"/>
        <w:rPr>
          <w:rFonts w:ascii="Cambria" w:hAnsi="Cambria"/>
          <w:sz w:val="20"/>
          <w:szCs w:val="20"/>
        </w:rPr>
      </w:pPr>
      <w:r>
        <w:rPr>
          <w:rFonts w:ascii="Cambria" w:hAnsi="Cambria"/>
          <w:sz w:val="20"/>
          <w:szCs w:val="20"/>
        </w:rPr>
        <w:t xml:space="preserve">Para </w:t>
      </w:r>
      <w:proofErr w:type="spellStart"/>
      <w:r>
        <w:rPr>
          <w:rFonts w:ascii="Cambria" w:hAnsi="Cambria"/>
          <w:sz w:val="20"/>
          <w:szCs w:val="20"/>
        </w:rPr>
        <w:t>vitar</w:t>
      </w:r>
      <w:proofErr w:type="spellEnd"/>
      <w:r>
        <w:rPr>
          <w:rFonts w:ascii="Cambria" w:hAnsi="Cambria"/>
          <w:sz w:val="20"/>
          <w:szCs w:val="20"/>
        </w:rPr>
        <w:t xml:space="preserve"> este riesgo, la nueva ley chilena establece un ‘derecho a desconexión’ que libera a las y los empleados de responder requerimientos de su empleador por un período de 12 horas. Sin embargo, la normativa permite explícitamente que las y los teletrabajadores queden excluidos de la limitación de jornada que rige para el resto del asalariado, si así lo acuerdan las partes. Por esta razón, la CUT ha acusado a la ley de ampliar tácitamente la jornada legal, sin reconocer las horas extraordinarias. La CUT tiene razón. Es un error pensar que los acuerdos entre empleador y trabajador individual resguardan necesariamente los intereses de este último”.</w:t>
      </w:r>
    </w:p>
    <w:p w14:paraId="1965C214" w14:textId="268D3F63" w:rsidR="001C5762" w:rsidRPr="00BA5056" w:rsidRDefault="001C5762" w:rsidP="001C5762">
      <w:pPr>
        <w:spacing w:after="0"/>
        <w:jc w:val="right"/>
        <w:rPr>
          <w:rFonts w:ascii="Cambria" w:hAnsi="Cambria"/>
          <w:sz w:val="20"/>
          <w:szCs w:val="20"/>
        </w:rPr>
      </w:pPr>
      <w:r>
        <w:rPr>
          <w:rFonts w:ascii="Cambria" w:hAnsi="Cambria"/>
          <w:sz w:val="20"/>
          <w:szCs w:val="20"/>
        </w:rPr>
        <w:t xml:space="preserve">Gutiérrez, Francisca (2020). </w:t>
      </w:r>
      <w:r w:rsidRPr="001C5762">
        <w:rPr>
          <w:rFonts w:ascii="Cambria" w:hAnsi="Cambria"/>
          <w:i/>
          <w:iCs/>
          <w:sz w:val="20"/>
          <w:szCs w:val="20"/>
        </w:rPr>
        <w:t>La promesa engañosa de la ley de teletrabajo</w:t>
      </w:r>
      <w:r>
        <w:rPr>
          <w:rFonts w:ascii="Cambria" w:hAnsi="Cambria"/>
          <w:sz w:val="20"/>
          <w:szCs w:val="20"/>
        </w:rPr>
        <w:t>.</w:t>
      </w:r>
    </w:p>
    <w:tbl>
      <w:tblPr>
        <w:tblStyle w:val="Tablaconcuadrcula"/>
        <w:tblW w:w="0" w:type="auto"/>
        <w:tblLook w:val="04A0" w:firstRow="1" w:lastRow="0" w:firstColumn="1" w:lastColumn="0" w:noHBand="0" w:noVBand="1"/>
      </w:tblPr>
      <w:tblGrid>
        <w:gridCol w:w="7620"/>
        <w:gridCol w:w="1208"/>
      </w:tblGrid>
      <w:tr w:rsidR="00192021" w14:paraId="5BCD4BCF" w14:textId="77777777" w:rsidTr="008B3382">
        <w:tc>
          <w:tcPr>
            <w:tcW w:w="8978" w:type="dxa"/>
            <w:gridSpan w:val="2"/>
          </w:tcPr>
          <w:p w14:paraId="7223A066" w14:textId="77777777" w:rsidR="00192021" w:rsidRPr="00325B97" w:rsidRDefault="00192021" w:rsidP="008B3382">
            <w:pPr>
              <w:jc w:val="center"/>
              <w:rPr>
                <w:rFonts w:ascii="Cambria" w:hAnsi="Cambria"/>
                <w:b/>
                <w:bCs/>
                <w:sz w:val="20"/>
                <w:szCs w:val="20"/>
              </w:rPr>
            </w:pPr>
            <w:r>
              <w:rPr>
                <w:rFonts w:ascii="Cambria" w:hAnsi="Cambria"/>
                <w:b/>
                <w:bCs/>
                <w:sz w:val="20"/>
                <w:szCs w:val="20"/>
              </w:rPr>
              <w:t>PAUTA PARA EVALUAR MAPA MENTAL</w:t>
            </w:r>
          </w:p>
        </w:tc>
      </w:tr>
      <w:tr w:rsidR="00192021" w14:paraId="41378E22" w14:textId="77777777" w:rsidTr="008B3382">
        <w:tc>
          <w:tcPr>
            <w:tcW w:w="7763" w:type="dxa"/>
          </w:tcPr>
          <w:p w14:paraId="6DE22D9F" w14:textId="77777777" w:rsidR="00192021" w:rsidRPr="00325B97" w:rsidRDefault="00192021" w:rsidP="008B3382">
            <w:pPr>
              <w:jc w:val="both"/>
              <w:rPr>
                <w:rFonts w:ascii="Cambria" w:hAnsi="Cambria"/>
                <w:b/>
                <w:bCs/>
                <w:sz w:val="20"/>
                <w:szCs w:val="20"/>
              </w:rPr>
            </w:pPr>
            <w:r>
              <w:rPr>
                <w:rFonts w:ascii="Cambria" w:hAnsi="Cambria"/>
                <w:b/>
                <w:bCs/>
                <w:sz w:val="20"/>
                <w:szCs w:val="20"/>
              </w:rPr>
              <w:t>Descripción</w:t>
            </w:r>
          </w:p>
        </w:tc>
        <w:tc>
          <w:tcPr>
            <w:tcW w:w="1215" w:type="dxa"/>
          </w:tcPr>
          <w:p w14:paraId="18FD1C68" w14:textId="77777777" w:rsidR="00192021" w:rsidRPr="00325B97" w:rsidRDefault="00192021" w:rsidP="008B3382">
            <w:pPr>
              <w:jc w:val="both"/>
              <w:rPr>
                <w:rFonts w:ascii="Cambria" w:hAnsi="Cambria"/>
                <w:b/>
                <w:bCs/>
                <w:sz w:val="20"/>
                <w:szCs w:val="20"/>
              </w:rPr>
            </w:pPr>
            <w:r>
              <w:rPr>
                <w:rFonts w:ascii="Cambria" w:hAnsi="Cambria"/>
                <w:b/>
                <w:bCs/>
                <w:sz w:val="20"/>
                <w:szCs w:val="20"/>
              </w:rPr>
              <w:t>Puntaje</w:t>
            </w:r>
          </w:p>
        </w:tc>
      </w:tr>
      <w:tr w:rsidR="00192021" w14:paraId="743C1934" w14:textId="77777777" w:rsidTr="008B3382">
        <w:tc>
          <w:tcPr>
            <w:tcW w:w="7763" w:type="dxa"/>
          </w:tcPr>
          <w:p w14:paraId="0B548BB7" w14:textId="77777777" w:rsidR="00192021" w:rsidRDefault="00192021" w:rsidP="008B3382">
            <w:pPr>
              <w:jc w:val="both"/>
              <w:rPr>
                <w:rFonts w:ascii="Cambria" w:hAnsi="Cambria"/>
                <w:sz w:val="20"/>
                <w:szCs w:val="20"/>
              </w:rPr>
            </w:pPr>
            <w:r w:rsidRPr="00686395">
              <w:rPr>
                <w:rFonts w:ascii="Cambria" w:hAnsi="Cambria"/>
                <w:sz w:val="20"/>
                <w:szCs w:val="20"/>
              </w:rPr>
              <w:t>E</w:t>
            </w:r>
            <w:r>
              <w:rPr>
                <w:rFonts w:ascii="Cambria" w:hAnsi="Cambria"/>
                <w:sz w:val="20"/>
                <w:szCs w:val="20"/>
              </w:rPr>
              <w:t>l</w:t>
            </w:r>
            <w:r w:rsidRPr="00686395">
              <w:rPr>
                <w:rFonts w:ascii="Cambria" w:hAnsi="Cambria"/>
                <w:sz w:val="20"/>
                <w:szCs w:val="20"/>
              </w:rPr>
              <w:t xml:space="preserve"> mapa mental</w:t>
            </w:r>
            <w:r>
              <w:rPr>
                <w:rFonts w:ascii="Cambria" w:hAnsi="Cambria"/>
                <w:sz w:val="20"/>
                <w:szCs w:val="20"/>
              </w:rPr>
              <w:t xml:space="preserve"> está</w:t>
            </w:r>
            <w:r w:rsidRPr="00686395">
              <w:rPr>
                <w:rFonts w:ascii="Cambria" w:hAnsi="Cambria"/>
                <w:sz w:val="20"/>
                <w:szCs w:val="20"/>
              </w:rPr>
              <w:t xml:space="preserve"> organizado de manera clara y fácil de seguir, con una estructura lógica que conecta las ideas principales y secundarias</w:t>
            </w:r>
          </w:p>
        </w:tc>
        <w:tc>
          <w:tcPr>
            <w:tcW w:w="1215" w:type="dxa"/>
          </w:tcPr>
          <w:p w14:paraId="4580AB65" w14:textId="77777777" w:rsidR="00192021" w:rsidRDefault="00192021" w:rsidP="008B3382">
            <w:pPr>
              <w:jc w:val="both"/>
              <w:rPr>
                <w:rFonts w:ascii="Cambria" w:hAnsi="Cambria"/>
                <w:sz w:val="20"/>
                <w:szCs w:val="20"/>
              </w:rPr>
            </w:pPr>
          </w:p>
        </w:tc>
      </w:tr>
      <w:tr w:rsidR="00192021" w14:paraId="3BB92ED8" w14:textId="77777777" w:rsidTr="008B3382">
        <w:tc>
          <w:tcPr>
            <w:tcW w:w="7763" w:type="dxa"/>
          </w:tcPr>
          <w:p w14:paraId="409FE616" w14:textId="77777777" w:rsidR="00192021" w:rsidRPr="004B5EFC" w:rsidRDefault="00192021" w:rsidP="008B3382">
            <w:pPr>
              <w:jc w:val="both"/>
              <w:rPr>
                <w:rFonts w:ascii="Cambria" w:hAnsi="Cambria"/>
                <w:sz w:val="20"/>
                <w:szCs w:val="20"/>
              </w:rPr>
            </w:pPr>
            <w:r w:rsidRPr="00686395">
              <w:rPr>
                <w:rFonts w:ascii="Cambria" w:hAnsi="Cambria"/>
                <w:sz w:val="20"/>
                <w:szCs w:val="20"/>
              </w:rPr>
              <w:t>Utiliza imágenes, símbolos o colores para representar ideas clave y mejorar la comprensión visual</w:t>
            </w:r>
          </w:p>
        </w:tc>
        <w:tc>
          <w:tcPr>
            <w:tcW w:w="1215" w:type="dxa"/>
          </w:tcPr>
          <w:p w14:paraId="514AC01E" w14:textId="77777777" w:rsidR="00192021" w:rsidRDefault="00192021" w:rsidP="008B3382">
            <w:pPr>
              <w:jc w:val="both"/>
              <w:rPr>
                <w:rFonts w:ascii="Cambria" w:hAnsi="Cambria"/>
                <w:sz w:val="20"/>
                <w:szCs w:val="20"/>
              </w:rPr>
            </w:pPr>
          </w:p>
        </w:tc>
      </w:tr>
      <w:tr w:rsidR="00192021" w14:paraId="28D5CB1C" w14:textId="77777777" w:rsidTr="008B3382">
        <w:tc>
          <w:tcPr>
            <w:tcW w:w="7763" w:type="dxa"/>
          </w:tcPr>
          <w:p w14:paraId="4A46D62E" w14:textId="080103A2" w:rsidR="00192021" w:rsidRPr="004B5EFC" w:rsidRDefault="00192021" w:rsidP="008B3382">
            <w:pPr>
              <w:jc w:val="both"/>
              <w:rPr>
                <w:rFonts w:ascii="Cambria" w:hAnsi="Cambria"/>
                <w:sz w:val="20"/>
                <w:szCs w:val="20"/>
              </w:rPr>
            </w:pPr>
            <w:r w:rsidRPr="00192021">
              <w:rPr>
                <w:rFonts w:ascii="Cambria" w:hAnsi="Cambria"/>
                <w:sz w:val="20"/>
                <w:szCs w:val="20"/>
              </w:rPr>
              <w:t>Se identifican claramente las principales características del trabajo infantil en Chile (número de niños afectados, tipo de trabajos realizados, grupos etarios, vulneraciones), utilizando ejemplos concretos de la fuente.</w:t>
            </w:r>
          </w:p>
        </w:tc>
        <w:tc>
          <w:tcPr>
            <w:tcW w:w="1215" w:type="dxa"/>
          </w:tcPr>
          <w:p w14:paraId="1A938804" w14:textId="77777777" w:rsidR="00192021" w:rsidRDefault="00192021" w:rsidP="008B3382">
            <w:pPr>
              <w:jc w:val="both"/>
              <w:rPr>
                <w:rFonts w:ascii="Cambria" w:hAnsi="Cambria"/>
                <w:sz w:val="20"/>
                <w:szCs w:val="20"/>
              </w:rPr>
            </w:pPr>
          </w:p>
        </w:tc>
      </w:tr>
      <w:tr w:rsidR="00192021" w14:paraId="301A7045" w14:textId="77777777" w:rsidTr="008B3382">
        <w:tc>
          <w:tcPr>
            <w:tcW w:w="7763" w:type="dxa"/>
          </w:tcPr>
          <w:p w14:paraId="2CDDB9DB" w14:textId="2FA36142" w:rsidR="00192021" w:rsidRDefault="00192021" w:rsidP="008B3382">
            <w:pPr>
              <w:jc w:val="both"/>
              <w:rPr>
                <w:rFonts w:ascii="Cambria" w:hAnsi="Cambria"/>
                <w:sz w:val="20"/>
                <w:szCs w:val="20"/>
              </w:rPr>
            </w:pPr>
            <w:r w:rsidRPr="00192021">
              <w:rPr>
                <w:rFonts w:ascii="Cambria" w:hAnsi="Cambria"/>
                <w:sz w:val="20"/>
                <w:szCs w:val="20"/>
              </w:rPr>
              <w:t>Se explica claramente la diferencia en las horas trabajadas entre hombres y mujeres en labores no remuneradas, destacando cifras y el impacto que estas diferencias generan.</w:t>
            </w:r>
          </w:p>
        </w:tc>
        <w:tc>
          <w:tcPr>
            <w:tcW w:w="1215" w:type="dxa"/>
          </w:tcPr>
          <w:p w14:paraId="512FC160" w14:textId="77777777" w:rsidR="00192021" w:rsidRDefault="00192021" w:rsidP="008B3382">
            <w:pPr>
              <w:jc w:val="both"/>
              <w:rPr>
                <w:rFonts w:ascii="Cambria" w:hAnsi="Cambria"/>
                <w:sz w:val="20"/>
                <w:szCs w:val="20"/>
              </w:rPr>
            </w:pPr>
          </w:p>
        </w:tc>
      </w:tr>
      <w:tr w:rsidR="00192021" w14:paraId="43574135" w14:textId="77777777" w:rsidTr="008B3382">
        <w:tc>
          <w:tcPr>
            <w:tcW w:w="7763" w:type="dxa"/>
          </w:tcPr>
          <w:p w14:paraId="0151CC3B" w14:textId="4D9D15AE" w:rsidR="00192021" w:rsidRPr="004B5EFC" w:rsidRDefault="00192021" w:rsidP="008B3382">
            <w:pPr>
              <w:jc w:val="both"/>
              <w:rPr>
                <w:rFonts w:ascii="Cambria" w:hAnsi="Cambria"/>
                <w:sz w:val="20"/>
                <w:szCs w:val="20"/>
              </w:rPr>
            </w:pPr>
            <w:r w:rsidRPr="00192021">
              <w:rPr>
                <w:rFonts w:ascii="Cambria" w:hAnsi="Cambria"/>
                <w:sz w:val="20"/>
                <w:szCs w:val="20"/>
              </w:rPr>
              <w:t>Se describe con precisión el impacto de la subcontratación en los derechos laborales, mencionando aspectos como la flexibilidad, la subordinación, y la dificultad para organizarse sindicalmente.</w:t>
            </w:r>
          </w:p>
        </w:tc>
        <w:tc>
          <w:tcPr>
            <w:tcW w:w="1215" w:type="dxa"/>
          </w:tcPr>
          <w:p w14:paraId="3A1499A6" w14:textId="77777777" w:rsidR="00192021" w:rsidRDefault="00192021" w:rsidP="008B3382">
            <w:pPr>
              <w:jc w:val="both"/>
              <w:rPr>
                <w:rFonts w:ascii="Cambria" w:hAnsi="Cambria"/>
                <w:sz w:val="20"/>
                <w:szCs w:val="20"/>
              </w:rPr>
            </w:pPr>
          </w:p>
        </w:tc>
      </w:tr>
      <w:tr w:rsidR="00192021" w14:paraId="56D8B2E1" w14:textId="77777777" w:rsidTr="008B3382">
        <w:tc>
          <w:tcPr>
            <w:tcW w:w="7763" w:type="dxa"/>
          </w:tcPr>
          <w:p w14:paraId="056D73A3" w14:textId="5B26DC7B" w:rsidR="00192021" w:rsidRPr="004B5EFC" w:rsidRDefault="00192021" w:rsidP="008B3382">
            <w:pPr>
              <w:jc w:val="both"/>
              <w:rPr>
                <w:rFonts w:ascii="Cambria" w:hAnsi="Cambria"/>
                <w:sz w:val="20"/>
                <w:szCs w:val="20"/>
              </w:rPr>
            </w:pPr>
            <w:r w:rsidRPr="00192021">
              <w:rPr>
                <w:rFonts w:ascii="Cambria" w:hAnsi="Cambria"/>
                <w:sz w:val="20"/>
                <w:szCs w:val="20"/>
              </w:rPr>
              <w:t>Se caracteriza adecuadamente la Ley de Teletrabajo, destacando los aspectos positivos y negativos, como el "derecho a desconexión" y la posible extensión tácita de la jornada laboral.</w:t>
            </w:r>
          </w:p>
        </w:tc>
        <w:tc>
          <w:tcPr>
            <w:tcW w:w="1215" w:type="dxa"/>
          </w:tcPr>
          <w:p w14:paraId="52F9DE79" w14:textId="77777777" w:rsidR="00192021" w:rsidRDefault="00192021" w:rsidP="008B3382">
            <w:pPr>
              <w:jc w:val="both"/>
              <w:rPr>
                <w:rFonts w:ascii="Cambria" w:hAnsi="Cambria"/>
                <w:sz w:val="20"/>
                <w:szCs w:val="20"/>
              </w:rPr>
            </w:pPr>
          </w:p>
        </w:tc>
      </w:tr>
      <w:tr w:rsidR="00192021" w14:paraId="5FE47CCE" w14:textId="77777777" w:rsidTr="008B3382">
        <w:tc>
          <w:tcPr>
            <w:tcW w:w="7763" w:type="dxa"/>
          </w:tcPr>
          <w:p w14:paraId="670DC5F3" w14:textId="0681D540" w:rsidR="00192021" w:rsidRPr="00192021" w:rsidRDefault="00192021" w:rsidP="008B3382">
            <w:pPr>
              <w:jc w:val="both"/>
              <w:rPr>
                <w:rFonts w:ascii="Cambria" w:hAnsi="Cambria"/>
                <w:sz w:val="20"/>
                <w:szCs w:val="20"/>
              </w:rPr>
            </w:pPr>
            <w:r w:rsidRPr="00192021">
              <w:rPr>
                <w:rFonts w:ascii="Cambria" w:hAnsi="Cambria"/>
                <w:sz w:val="20"/>
                <w:szCs w:val="20"/>
              </w:rPr>
              <w:t>Se proponen estrategias concretas, razonadas y factibles para abordar los problemas relacionados con el trabajo infantil, la desigualdad en el trabajo no remunerado, la subcontratación y el teletrabajo.</w:t>
            </w:r>
          </w:p>
        </w:tc>
        <w:tc>
          <w:tcPr>
            <w:tcW w:w="1215" w:type="dxa"/>
          </w:tcPr>
          <w:p w14:paraId="166FF3B1" w14:textId="77777777" w:rsidR="00192021" w:rsidRDefault="00192021" w:rsidP="008B3382">
            <w:pPr>
              <w:jc w:val="both"/>
              <w:rPr>
                <w:rFonts w:ascii="Cambria" w:hAnsi="Cambria"/>
                <w:sz w:val="20"/>
                <w:szCs w:val="20"/>
              </w:rPr>
            </w:pPr>
          </w:p>
        </w:tc>
      </w:tr>
      <w:tr w:rsidR="00192021" w14:paraId="21EB32D1" w14:textId="77777777" w:rsidTr="008B3382">
        <w:tc>
          <w:tcPr>
            <w:tcW w:w="7763" w:type="dxa"/>
          </w:tcPr>
          <w:p w14:paraId="5253434B" w14:textId="77777777" w:rsidR="00192021" w:rsidRPr="004B5EFC" w:rsidRDefault="00192021" w:rsidP="008B3382">
            <w:pPr>
              <w:jc w:val="both"/>
              <w:rPr>
                <w:rFonts w:ascii="Cambria" w:hAnsi="Cambria"/>
                <w:sz w:val="20"/>
                <w:szCs w:val="20"/>
              </w:rPr>
            </w:pPr>
            <w:r w:rsidRPr="00A336D6">
              <w:rPr>
                <w:rFonts w:ascii="Cambria" w:hAnsi="Cambria"/>
                <w:sz w:val="20"/>
                <w:szCs w:val="20"/>
              </w:rPr>
              <w:t>Las fuentes se utilizan de manera crítica y reflexiva. Se cita o parafrasea correctamente cada una, demostrando que se comprenden sus implicancias históricas.</w:t>
            </w:r>
          </w:p>
        </w:tc>
        <w:tc>
          <w:tcPr>
            <w:tcW w:w="1215" w:type="dxa"/>
          </w:tcPr>
          <w:p w14:paraId="5F49811E" w14:textId="77777777" w:rsidR="00192021" w:rsidRDefault="00192021" w:rsidP="008B3382">
            <w:pPr>
              <w:jc w:val="both"/>
              <w:rPr>
                <w:rFonts w:ascii="Cambria" w:hAnsi="Cambria"/>
                <w:sz w:val="20"/>
                <w:szCs w:val="20"/>
              </w:rPr>
            </w:pPr>
          </w:p>
        </w:tc>
      </w:tr>
      <w:tr w:rsidR="00192021" w14:paraId="67E7B862" w14:textId="77777777" w:rsidTr="008B3382">
        <w:tc>
          <w:tcPr>
            <w:tcW w:w="7763" w:type="dxa"/>
          </w:tcPr>
          <w:p w14:paraId="57094A60" w14:textId="77777777" w:rsidR="00192021" w:rsidRDefault="00192021" w:rsidP="008B3382">
            <w:pPr>
              <w:jc w:val="both"/>
              <w:rPr>
                <w:rFonts w:ascii="Cambria" w:hAnsi="Cambria"/>
                <w:sz w:val="20"/>
                <w:szCs w:val="20"/>
              </w:rPr>
            </w:pPr>
            <w:r>
              <w:rPr>
                <w:rFonts w:ascii="Cambria" w:hAnsi="Cambria"/>
                <w:sz w:val="20"/>
                <w:szCs w:val="20"/>
              </w:rPr>
              <w:t>E</w:t>
            </w:r>
            <w:r w:rsidRPr="004B5EFC">
              <w:rPr>
                <w:rFonts w:ascii="Cambria" w:hAnsi="Cambria"/>
                <w:sz w:val="20"/>
                <w:szCs w:val="20"/>
              </w:rPr>
              <w:t xml:space="preserve">l texto es claro, coherente, bien estructurado y </w:t>
            </w:r>
            <w:r>
              <w:rPr>
                <w:rFonts w:ascii="Cambria" w:hAnsi="Cambria"/>
                <w:sz w:val="20"/>
                <w:szCs w:val="20"/>
              </w:rPr>
              <w:t xml:space="preserve">no presenta faltas de ortografías </w:t>
            </w:r>
          </w:p>
        </w:tc>
        <w:tc>
          <w:tcPr>
            <w:tcW w:w="1215" w:type="dxa"/>
          </w:tcPr>
          <w:p w14:paraId="1A772589" w14:textId="77777777" w:rsidR="00192021" w:rsidRDefault="00192021" w:rsidP="008B3382">
            <w:pPr>
              <w:jc w:val="both"/>
              <w:rPr>
                <w:rFonts w:ascii="Cambria" w:hAnsi="Cambria"/>
                <w:sz w:val="20"/>
                <w:szCs w:val="20"/>
              </w:rPr>
            </w:pPr>
          </w:p>
        </w:tc>
      </w:tr>
    </w:tbl>
    <w:p w14:paraId="3F99699C" w14:textId="77777777" w:rsidR="00192021" w:rsidRPr="00CA3736" w:rsidRDefault="00192021" w:rsidP="00192021">
      <w:pPr>
        <w:spacing w:after="0"/>
        <w:jc w:val="both"/>
        <w:rPr>
          <w:rFonts w:ascii="Cambria" w:hAnsi="Cambria"/>
          <w:sz w:val="20"/>
          <w:szCs w:val="20"/>
        </w:rPr>
      </w:pPr>
    </w:p>
    <w:p w14:paraId="7B754F9F" w14:textId="77777777" w:rsidR="00192021" w:rsidRPr="004B5EFC" w:rsidRDefault="00192021" w:rsidP="00192021">
      <w:pPr>
        <w:spacing w:after="0"/>
        <w:jc w:val="both"/>
        <w:rPr>
          <w:rFonts w:ascii="Cambria" w:hAnsi="Cambria"/>
          <w:b/>
          <w:bCs/>
          <w:sz w:val="20"/>
          <w:szCs w:val="20"/>
        </w:rPr>
      </w:pPr>
      <w:r w:rsidRPr="004B5EFC">
        <w:rPr>
          <w:rFonts w:ascii="Cambria" w:hAnsi="Cambria"/>
          <w:b/>
          <w:bCs/>
          <w:sz w:val="20"/>
          <w:szCs w:val="20"/>
        </w:rPr>
        <w:t>Puntuación</w:t>
      </w:r>
    </w:p>
    <w:p w14:paraId="5E7C91AD" w14:textId="77777777" w:rsidR="00192021" w:rsidRPr="004B5EFC" w:rsidRDefault="00192021" w:rsidP="00192021">
      <w:pPr>
        <w:spacing w:after="0"/>
        <w:jc w:val="both"/>
        <w:rPr>
          <w:rFonts w:ascii="Cambria" w:hAnsi="Cambria"/>
          <w:sz w:val="20"/>
          <w:szCs w:val="20"/>
        </w:rPr>
      </w:pPr>
      <w:r w:rsidRPr="004B5EFC">
        <w:rPr>
          <w:rFonts w:ascii="Cambria" w:hAnsi="Cambria"/>
          <w:sz w:val="20"/>
          <w:szCs w:val="20"/>
        </w:rPr>
        <w:t>Excelente (</w:t>
      </w:r>
      <w:r>
        <w:rPr>
          <w:rFonts w:ascii="Cambria" w:hAnsi="Cambria"/>
          <w:sz w:val="20"/>
          <w:szCs w:val="20"/>
        </w:rPr>
        <w:t>3</w:t>
      </w:r>
      <w:r w:rsidRPr="004B5EFC">
        <w:rPr>
          <w:rFonts w:ascii="Cambria" w:hAnsi="Cambria"/>
          <w:sz w:val="20"/>
          <w:szCs w:val="20"/>
        </w:rPr>
        <w:t>): Cumple con todos los criterios de manera excepcional.</w:t>
      </w:r>
    </w:p>
    <w:p w14:paraId="6BED910E" w14:textId="77777777" w:rsidR="00192021" w:rsidRPr="004B5EFC" w:rsidRDefault="00192021" w:rsidP="00192021">
      <w:pPr>
        <w:spacing w:after="0"/>
        <w:jc w:val="both"/>
        <w:rPr>
          <w:rFonts w:ascii="Cambria" w:hAnsi="Cambria"/>
          <w:sz w:val="20"/>
          <w:szCs w:val="20"/>
        </w:rPr>
      </w:pPr>
      <w:r w:rsidRPr="004B5EFC">
        <w:rPr>
          <w:rFonts w:ascii="Cambria" w:hAnsi="Cambria"/>
          <w:sz w:val="20"/>
          <w:szCs w:val="20"/>
        </w:rPr>
        <w:t>Bueno (</w:t>
      </w:r>
      <w:r>
        <w:rPr>
          <w:rFonts w:ascii="Cambria" w:hAnsi="Cambria"/>
          <w:sz w:val="20"/>
          <w:szCs w:val="20"/>
        </w:rPr>
        <w:t>2</w:t>
      </w:r>
      <w:r w:rsidRPr="004B5EFC">
        <w:rPr>
          <w:rFonts w:ascii="Cambria" w:hAnsi="Cambria"/>
          <w:sz w:val="20"/>
          <w:szCs w:val="20"/>
        </w:rPr>
        <w:t>): Cumple con la mayoría de los criterios de manera satisfactoria.</w:t>
      </w:r>
    </w:p>
    <w:p w14:paraId="13E2C5EB" w14:textId="77777777" w:rsidR="00192021" w:rsidRPr="004B5EFC" w:rsidRDefault="00192021" w:rsidP="00192021">
      <w:pPr>
        <w:spacing w:after="0"/>
        <w:jc w:val="both"/>
        <w:rPr>
          <w:rFonts w:ascii="Cambria" w:hAnsi="Cambria"/>
          <w:sz w:val="20"/>
          <w:szCs w:val="20"/>
        </w:rPr>
      </w:pPr>
      <w:r w:rsidRPr="004B5EFC">
        <w:rPr>
          <w:rFonts w:ascii="Cambria" w:hAnsi="Cambria"/>
          <w:sz w:val="20"/>
          <w:szCs w:val="20"/>
        </w:rPr>
        <w:t>Aceptable (</w:t>
      </w:r>
      <w:r>
        <w:rPr>
          <w:rFonts w:ascii="Cambria" w:hAnsi="Cambria"/>
          <w:sz w:val="20"/>
          <w:szCs w:val="20"/>
        </w:rPr>
        <w:t>1</w:t>
      </w:r>
      <w:r w:rsidRPr="004B5EFC">
        <w:rPr>
          <w:rFonts w:ascii="Cambria" w:hAnsi="Cambria"/>
          <w:sz w:val="20"/>
          <w:szCs w:val="20"/>
        </w:rPr>
        <w:t>): Cumple con algunos criterios, pero con áreas de mejora identificadas.</w:t>
      </w:r>
    </w:p>
    <w:p w14:paraId="7DCF7759" w14:textId="77777777" w:rsidR="00192021" w:rsidRPr="004B5EFC" w:rsidRDefault="00192021" w:rsidP="00192021">
      <w:pPr>
        <w:spacing w:after="0"/>
        <w:jc w:val="both"/>
        <w:rPr>
          <w:rFonts w:ascii="Cambria" w:hAnsi="Cambria"/>
          <w:sz w:val="20"/>
          <w:szCs w:val="20"/>
        </w:rPr>
      </w:pPr>
      <w:r w:rsidRPr="004B5EFC">
        <w:rPr>
          <w:rFonts w:ascii="Cambria" w:hAnsi="Cambria"/>
          <w:sz w:val="20"/>
          <w:szCs w:val="20"/>
        </w:rPr>
        <w:t>Insuficiente (</w:t>
      </w:r>
      <w:r>
        <w:rPr>
          <w:rFonts w:ascii="Cambria" w:hAnsi="Cambria"/>
          <w:sz w:val="20"/>
          <w:szCs w:val="20"/>
        </w:rPr>
        <w:t>0</w:t>
      </w:r>
      <w:r w:rsidRPr="004B5EFC">
        <w:rPr>
          <w:rFonts w:ascii="Cambria" w:hAnsi="Cambria"/>
          <w:sz w:val="20"/>
          <w:szCs w:val="20"/>
        </w:rPr>
        <w:t>): No cumple con los criterios o presenta deficiencias significativas en varios aspectos.</w:t>
      </w:r>
    </w:p>
    <w:p w14:paraId="2A47F49D" w14:textId="77777777" w:rsidR="00A970F6" w:rsidRDefault="00A970F6"/>
    <w:sectPr w:rsidR="00A970F6" w:rsidSect="001C5762">
      <w:headerReference w:type="default" r:id="rId7"/>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FF890D" w14:textId="77777777" w:rsidR="00C765A3" w:rsidRDefault="00C765A3" w:rsidP="002C6788">
      <w:pPr>
        <w:spacing w:after="0" w:line="240" w:lineRule="auto"/>
      </w:pPr>
      <w:r>
        <w:separator/>
      </w:r>
    </w:p>
  </w:endnote>
  <w:endnote w:type="continuationSeparator" w:id="0">
    <w:p w14:paraId="4EF62C01" w14:textId="77777777" w:rsidR="00C765A3" w:rsidRDefault="00C765A3" w:rsidP="002C6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DBF7D" w14:textId="77777777" w:rsidR="00C765A3" w:rsidRDefault="00C765A3" w:rsidP="002C6788">
      <w:pPr>
        <w:spacing w:after="0" w:line="240" w:lineRule="auto"/>
      </w:pPr>
      <w:r>
        <w:separator/>
      </w:r>
    </w:p>
  </w:footnote>
  <w:footnote w:type="continuationSeparator" w:id="0">
    <w:p w14:paraId="0B143558" w14:textId="77777777" w:rsidR="00C765A3" w:rsidRDefault="00C765A3" w:rsidP="002C6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F52A8" w14:textId="2F44A5D0" w:rsidR="002C6788" w:rsidRDefault="00C80173">
    <w:pPr>
      <w:pStyle w:val="Encabezado"/>
    </w:pPr>
    <w:r>
      <w:rPr>
        <w:noProof/>
      </w:rPr>
      <mc:AlternateContent>
        <mc:Choice Requires="wps">
          <w:drawing>
            <wp:anchor distT="0" distB="0" distL="114300" distR="114300" simplePos="0" relativeHeight="251661312" behindDoc="0" locked="0" layoutInCell="1" allowOverlap="1" wp14:anchorId="7799E205" wp14:editId="5B7AA715">
              <wp:simplePos x="0" y="0"/>
              <wp:positionH relativeFrom="column">
                <wp:posOffset>4581525</wp:posOffset>
              </wp:positionH>
              <wp:positionV relativeFrom="paragraph">
                <wp:posOffset>-48895</wp:posOffset>
              </wp:positionV>
              <wp:extent cx="1905000" cy="476885"/>
              <wp:effectExtent l="0" t="0" r="0" b="0"/>
              <wp:wrapNone/>
              <wp:docPr id="1876767953"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2A3BC941" w14:textId="77777777" w:rsidR="00C80173" w:rsidRPr="00732B2B" w:rsidRDefault="00C80173" w:rsidP="00C8017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52A49AF4" w14:textId="77777777" w:rsidR="00C80173" w:rsidRPr="00732B2B" w:rsidRDefault="00C80173" w:rsidP="00C8017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0FD96267" w14:textId="77777777" w:rsidR="00C80173" w:rsidRPr="00732B2B" w:rsidRDefault="00C80173" w:rsidP="00C8017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799E205" id="_x0000_t202" coordsize="21600,21600" o:spt="202" path="m,l,21600r21600,l21600,xe">
              <v:stroke joinstyle="miter"/>
              <v:path gradientshapeok="t" o:connecttype="rect"/>
            </v:shapetype>
            <v:shape id="Cuadro de texto 6" o:spid="_x0000_s1026" type="#_x0000_t202" style="position:absolute;margin-left:360.75pt;margin-top:-3.85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" filled="f" stroked="f">
              <v:textbox style="mso-fit-shape-to-text:t">
                <w:txbxContent>
                  <w:p w14:paraId="2A3BC941" w14:textId="77777777" w:rsidR="00C80173" w:rsidRPr="00732B2B" w:rsidRDefault="00C80173" w:rsidP="00C8017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52A49AF4" w14:textId="77777777" w:rsidR="00C80173" w:rsidRPr="00732B2B" w:rsidRDefault="00C80173" w:rsidP="00C80173">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0FD96267" w14:textId="77777777" w:rsidR="00C80173" w:rsidRPr="00732B2B" w:rsidRDefault="00C80173" w:rsidP="00C80173">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v:textbox>
            </v:shape>
          </w:pict>
        </mc:Fallback>
      </mc:AlternateContent>
    </w:r>
    <w:r w:rsidR="002C6788">
      <w:rPr>
        <w:noProof/>
      </w:rPr>
      <mc:AlternateContent>
        <mc:Choice Requires="wps">
          <w:drawing>
            <wp:anchor distT="0" distB="0" distL="114300" distR="114300" simplePos="0" relativeHeight="251659264" behindDoc="0" locked="0" layoutInCell="1" allowOverlap="1" wp14:anchorId="4CFCC8B8" wp14:editId="5B1F07CA">
              <wp:simplePos x="0" y="0"/>
              <wp:positionH relativeFrom="column">
                <wp:posOffset>-619125</wp:posOffset>
              </wp:positionH>
              <wp:positionV relativeFrom="paragraph">
                <wp:posOffset>-248285</wp:posOffset>
              </wp:positionV>
              <wp:extent cx="2040890" cy="676275"/>
              <wp:effectExtent l="0" t="0" r="0" b="0"/>
              <wp:wrapNone/>
              <wp:docPr id="2028812279"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763B2B04" w14:textId="77777777" w:rsidR="002C6788" w:rsidRDefault="002C6788" w:rsidP="002C678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6EE31FC" w14:textId="77777777" w:rsidR="002C6788" w:rsidRDefault="002C6788" w:rsidP="002C678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0B00825E" w14:textId="77777777" w:rsidR="002C6788" w:rsidRDefault="002C6788" w:rsidP="002C678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E94889D" wp14:editId="5349E86B">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CFCC8B8" id="Cuadro de texto 4" o:spid="_x0000_s1027" type="#_x0000_t202" style="position:absolute;margin-left:-48.75pt;margin-top:-19.5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" filled="f" stroked="f">
              <v:textbox inset="0,0,0,0">
                <w:txbxContent>
                  <w:p w14:paraId="763B2B04" w14:textId="77777777" w:rsidR="002C6788" w:rsidRDefault="002C6788" w:rsidP="002C678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56EE31FC" w14:textId="77777777" w:rsidR="002C6788" w:rsidRDefault="002C6788" w:rsidP="002C678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0B00825E" w14:textId="77777777" w:rsidR="002C6788" w:rsidRDefault="002C6788" w:rsidP="002C678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E94889D" wp14:editId="5349E86B">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722"/>
    <w:multiLevelType w:val="hybridMultilevel"/>
    <w:tmpl w:val="D14E3C36"/>
    <w:lvl w:ilvl="0" w:tplc="454828F0">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57662102"/>
    <w:multiLevelType w:val="hybridMultilevel"/>
    <w:tmpl w:val="DB084FCA"/>
    <w:lvl w:ilvl="0" w:tplc="28349F68">
      <w:numFmt w:val="bullet"/>
      <w:lvlText w:val=""/>
      <w:lvlJc w:val="left"/>
      <w:pPr>
        <w:ind w:left="1080" w:hanging="360"/>
      </w:pPr>
      <w:rPr>
        <w:rFonts w:ascii="Symbol" w:eastAsiaTheme="minorHAnsi" w:hAnsi="Symbol"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 w15:restartNumberingAfterBreak="0">
    <w:nsid w:val="785A69D4"/>
    <w:multiLevelType w:val="hybridMultilevel"/>
    <w:tmpl w:val="5DB0C492"/>
    <w:lvl w:ilvl="0" w:tplc="4B743414">
      <w:numFmt w:val="bullet"/>
      <w:lvlText w:val=""/>
      <w:lvlJc w:val="left"/>
      <w:pPr>
        <w:ind w:left="1080" w:hanging="360"/>
      </w:pPr>
      <w:rPr>
        <w:rFonts w:ascii="Symbol" w:eastAsiaTheme="minorHAnsi" w:hAnsi="Symbol" w:cstheme="minorBid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16cid:durableId="1447233777">
    <w:abstractNumId w:val="0"/>
  </w:num>
  <w:num w:numId="2" w16cid:durableId="1882591676">
    <w:abstractNumId w:val="1"/>
  </w:num>
  <w:num w:numId="3" w16cid:durableId="748842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56"/>
    <w:rsid w:val="00006C60"/>
    <w:rsid w:val="00123803"/>
    <w:rsid w:val="00192021"/>
    <w:rsid w:val="001C5762"/>
    <w:rsid w:val="002C6788"/>
    <w:rsid w:val="003C3AD4"/>
    <w:rsid w:val="004B6D70"/>
    <w:rsid w:val="004D011C"/>
    <w:rsid w:val="005206A2"/>
    <w:rsid w:val="00716F68"/>
    <w:rsid w:val="00720FED"/>
    <w:rsid w:val="007328DD"/>
    <w:rsid w:val="0098350A"/>
    <w:rsid w:val="009F43A7"/>
    <w:rsid w:val="00A07471"/>
    <w:rsid w:val="00A970F6"/>
    <w:rsid w:val="00BA5056"/>
    <w:rsid w:val="00C765A3"/>
    <w:rsid w:val="00C80173"/>
    <w:rsid w:val="00DB6FD8"/>
    <w:rsid w:val="00DF5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BE3C4"/>
  <w15:chartTrackingRefBased/>
  <w15:docId w15:val="{31CB3FAB-3C20-4432-AD4D-B31E5AB74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BA5056"/>
    <w:rPr>
      <w:kern w:val="0"/>
      <w:lang w:val="es-CL"/>
    </w:rPr>
  </w:style>
  <w:style w:type="paragraph" w:styleId="Ttulo1">
    <w:name w:val="heading 1"/>
    <w:basedOn w:val="Normal"/>
    <w:next w:val="Normal"/>
    <w:link w:val="Ttulo1Car"/>
    <w:uiPriority w:val="9"/>
    <w:qFormat/>
    <w:rsid w:val="00BA50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A50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A505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A505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A505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A50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A50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A50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A505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5056"/>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BA5056"/>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BA5056"/>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BA5056"/>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BA5056"/>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BA5056"/>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BA5056"/>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BA5056"/>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BA5056"/>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BA50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5056"/>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BA505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A5056"/>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BA5056"/>
    <w:pPr>
      <w:spacing w:before="160"/>
      <w:jc w:val="center"/>
    </w:pPr>
    <w:rPr>
      <w:i/>
      <w:iCs/>
      <w:color w:val="404040" w:themeColor="text1" w:themeTint="BF"/>
    </w:rPr>
  </w:style>
  <w:style w:type="character" w:customStyle="1" w:styleId="CitaCar">
    <w:name w:val="Cita Car"/>
    <w:basedOn w:val="Fuentedeprrafopredeter"/>
    <w:link w:val="Cita"/>
    <w:uiPriority w:val="29"/>
    <w:rsid w:val="00BA5056"/>
    <w:rPr>
      <w:rFonts w:ascii="Cambria" w:hAnsi="Cambria"/>
      <w:i/>
      <w:iCs/>
      <w:color w:val="404040" w:themeColor="text1" w:themeTint="BF"/>
      <w:kern w:val="0"/>
      <w:lang w:val="es-CL"/>
    </w:rPr>
  </w:style>
  <w:style w:type="paragraph" w:styleId="Prrafodelista">
    <w:name w:val="List Paragraph"/>
    <w:basedOn w:val="Normal"/>
    <w:uiPriority w:val="34"/>
    <w:qFormat/>
    <w:rsid w:val="00BA5056"/>
    <w:pPr>
      <w:ind w:left="720"/>
      <w:contextualSpacing/>
    </w:pPr>
  </w:style>
  <w:style w:type="character" w:styleId="nfasisintenso">
    <w:name w:val="Intense Emphasis"/>
    <w:basedOn w:val="Fuentedeprrafopredeter"/>
    <w:uiPriority w:val="21"/>
    <w:qFormat/>
    <w:rsid w:val="00BA5056"/>
    <w:rPr>
      <w:i/>
      <w:iCs/>
      <w:color w:val="0F4761" w:themeColor="accent1" w:themeShade="BF"/>
    </w:rPr>
  </w:style>
  <w:style w:type="paragraph" w:styleId="Citadestacada">
    <w:name w:val="Intense Quote"/>
    <w:basedOn w:val="Normal"/>
    <w:next w:val="Normal"/>
    <w:link w:val="CitadestacadaCar"/>
    <w:uiPriority w:val="30"/>
    <w:qFormat/>
    <w:rsid w:val="00BA50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A5056"/>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BA5056"/>
    <w:rPr>
      <w:b/>
      <w:bCs/>
      <w:smallCaps/>
      <w:color w:val="0F4761" w:themeColor="accent1" w:themeShade="BF"/>
      <w:spacing w:val="5"/>
    </w:rPr>
  </w:style>
  <w:style w:type="table" w:styleId="Tablaconcuadrcula">
    <w:name w:val="Table Grid"/>
    <w:basedOn w:val="Tablanormal"/>
    <w:uiPriority w:val="39"/>
    <w:rsid w:val="00BA5056"/>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C67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6788"/>
    <w:rPr>
      <w:kern w:val="0"/>
      <w:lang w:val="es-CL"/>
    </w:rPr>
  </w:style>
  <w:style w:type="paragraph" w:styleId="Piedepgina">
    <w:name w:val="footer"/>
    <w:basedOn w:val="Normal"/>
    <w:link w:val="PiedepginaCar"/>
    <w:uiPriority w:val="99"/>
    <w:unhideWhenUsed/>
    <w:rsid w:val="002C67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6788"/>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1098</Words>
  <Characters>6040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2024-09-30T22:24:00Z</cp:lastPrinted>
  <dcterms:created xsi:type="dcterms:W3CDTF">2024-09-30T22:24:00Z</dcterms:created>
  <dcterms:modified xsi:type="dcterms:W3CDTF">2024-09-30T22:24:00Z</dcterms:modified>
</cp:coreProperties>
</file>