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0A68" w14:textId="0637619D" w:rsidR="00615780" w:rsidRDefault="00615780" w:rsidP="0061578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20</w:t>
      </w:r>
    </w:p>
    <w:p w14:paraId="383E093B" w14:textId="5C703EC7" w:rsidR="00615780" w:rsidRDefault="00615780" w:rsidP="00615780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COMERCIO JUSTO Y PROBIDAD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15780" w:rsidRPr="007B3509" w14:paraId="536571F5" w14:textId="77777777" w:rsidTr="00EC09B0">
        <w:tc>
          <w:tcPr>
            <w:tcW w:w="8828" w:type="dxa"/>
            <w:gridSpan w:val="4"/>
          </w:tcPr>
          <w:p w14:paraId="3EF4E0EB" w14:textId="77777777" w:rsidR="00615780" w:rsidRPr="007B3509" w:rsidRDefault="00615780" w:rsidP="00EC09B0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615780" w:rsidRPr="007B3509" w14:paraId="7C6272F3" w14:textId="77777777" w:rsidTr="00EC09B0">
        <w:tc>
          <w:tcPr>
            <w:tcW w:w="2207" w:type="dxa"/>
          </w:tcPr>
          <w:p w14:paraId="75D1B4FE" w14:textId="77777777" w:rsidR="00615780" w:rsidRPr="007B3509" w:rsidRDefault="00615780" w:rsidP="00EC09B0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0919712F" w14:textId="0E4C56B8" w:rsidR="00615780" w:rsidRPr="007B3509" w:rsidRDefault="0042719F" w:rsidP="00EC09B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2207" w:type="dxa"/>
          </w:tcPr>
          <w:p w14:paraId="3017C3C2" w14:textId="77777777" w:rsidR="00615780" w:rsidRPr="007B3509" w:rsidRDefault="00615780" w:rsidP="00EC09B0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1ABDBF59" w14:textId="66F5BBEC" w:rsidR="00615780" w:rsidRPr="007B3509" w:rsidRDefault="00D91BDF" w:rsidP="00EC09B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  <w:r w:rsidR="00615780">
              <w:rPr>
                <w:rFonts w:ascii="Cambria" w:hAnsi="Cambria"/>
              </w:rPr>
              <w:t>/11/2024</w:t>
            </w:r>
          </w:p>
        </w:tc>
      </w:tr>
      <w:tr w:rsidR="00615780" w:rsidRPr="007B3509" w14:paraId="00D622F9" w14:textId="77777777" w:rsidTr="00EC09B0">
        <w:tc>
          <w:tcPr>
            <w:tcW w:w="2207" w:type="dxa"/>
          </w:tcPr>
          <w:p w14:paraId="67E0C844" w14:textId="77777777" w:rsidR="00615780" w:rsidRPr="007B3509" w:rsidRDefault="00615780" w:rsidP="00EC09B0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356FB970" w14:textId="77777777" w:rsidR="00615780" w:rsidRPr="007B3509" w:rsidRDefault="00615780" w:rsidP="00EC09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1A29C446" w14:textId="77777777" w:rsidR="00615780" w:rsidRPr="007B3509" w:rsidRDefault="00615780" w:rsidP="00EC09B0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4F5B68F3" w14:textId="77777777" w:rsidR="00615780" w:rsidRPr="007B3509" w:rsidRDefault="00615780" w:rsidP="00EC09B0">
            <w:pPr>
              <w:jc w:val="both"/>
              <w:rPr>
                <w:rFonts w:ascii="Cambria" w:hAnsi="Cambria"/>
              </w:rPr>
            </w:pPr>
          </w:p>
        </w:tc>
      </w:tr>
    </w:tbl>
    <w:p w14:paraId="32086521" w14:textId="4D12907E" w:rsidR="00615780" w:rsidRDefault="00615780" w:rsidP="00615780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Objetivo: Explicar la </w:t>
      </w:r>
      <w:r w:rsidR="00EF794A">
        <w:rPr>
          <w:rFonts w:ascii="Cambria" w:hAnsi="Cambria"/>
          <w:b/>
          <w:bCs/>
        </w:rPr>
        <w:t xml:space="preserve">probidad y el comercio justo </w:t>
      </w:r>
      <w:r>
        <w:rPr>
          <w:rFonts w:ascii="Cambria" w:hAnsi="Cambria"/>
          <w:b/>
          <w:bCs/>
        </w:rPr>
        <w:t xml:space="preserve">a través de </w:t>
      </w:r>
      <w:r w:rsidR="00EF794A">
        <w:rPr>
          <w:rFonts w:ascii="Cambria" w:hAnsi="Cambria"/>
          <w:b/>
          <w:bCs/>
        </w:rPr>
        <w:t xml:space="preserve">columna de opinión </w:t>
      </w:r>
      <w:r>
        <w:rPr>
          <w:rFonts w:ascii="Cambria" w:hAnsi="Cambria"/>
          <w:b/>
          <w:bCs/>
        </w:rPr>
        <w:t>para buscar soluciones que mejoren el funcionamiento de la sociedad.</w:t>
      </w:r>
    </w:p>
    <w:p w14:paraId="0416952A" w14:textId="77777777" w:rsidR="00615780" w:rsidRDefault="00615780" w:rsidP="00615780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716522BA" w14:textId="5998D742" w:rsidR="00615780" w:rsidRPr="00EF794A" w:rsidRDefault="00615780" w:rsidP="00615780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En parejas lean las fuentes y realicen </w:t>
      </w:r>
      <w:r w:rsidR="00EF794A">
        <w:rPr>
          <w:rFonts w:ascii="Cambria" w:hAnsi="Cambria"/>
        </w:rPr>
        <w:t>una columna de opinión en donde aborden los siguientes temas:</w:t>
      </w:r>
    </w:p>
    <w:p w14:paraId="6E91350E" w14:textId="18F47DE8" w:rsidR="00EF794A" w:rsidRPr="00EF794A" w:rsidRDefault="00EF794A" w:rsidP="00EF794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Corrupción y falta de probidad en Chile</w:t>
      </w:r>
    </w:p>
    <w:p w14:paraId="6422EF32" w14:textId="17D2B964" w:rsidR="00EF794A" w:rsidRPr="00EF794A" w:rsidRDefault="00EF794A" w:rsidP="00EF794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Efectos en la población</w:t>
      </w:r>
    </w:p>
    <w:p w14:paraId="6130827E" w14:textId="5EC409B5" w:rsidR="00EF794A" w:rsidRPr="00EF794A" w:rsidRDefault="00EF794A" w:rsidP="00EF794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Ejemplos concretos de corrupción y falta de probidad</w:t>
      </w:r>
    </w:p>
    <w:p w14:paraId="41519D57" w14:textId="6725844B" w:rsidR="00EF794A" w:rsidRPr="00EF794A" w:rsidRDefault="00EF794A" w:rsidP="00EF794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Como abordarlo desde el comercio justo (fuente 3)</w:t>
      </w:r>
    </w:p>
    <w:p w14:paraId="357B8A9E" w14:textId="1462FD69" w:rsidR="00EF794A" w:rsidRPr="00EF794A" w:rsidRDefault="00EF794A" w:rsidP="00EF794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Propuestas para aumentar la probidad y el comercio justo</w:t>
      </w:r>
    </w:p>
    <w:p w14:paraId="07159632" w14:textId="6B8CA71F" w:rsidR="00EF794A" w:rsidRPr="00615780" w:rsidRDefault="00EF794A" w:rsidP="00EF794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Juicio de valor sobre el tema abordado</w:t>
      </w:r>
    </w:p>
    <w:p w14:paraId="77540EB2" w14:textId="7AA764B5" w:rsidR="00615780" w:rsidRDefault="00615780" w:rsidP="0061578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46409E08" w14:textId="2F119F61" w:rsidR="00615780" w:rsidRDefault="00615780" w:rsidP="0061578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“La corrupción ha avanzado velozmente en Chile y las instituciones se están deteriorando sin remedio. Empresarios que capturan parlamentarios y altas autoridades de gobierno para multiplicar sus ganancias; un Servicio de Impuestos Internos que protege a políticos y empresarios corruptos, en vez de querellarse contra ellos. Una corrupción en escala ascendente y el deterioro de las instituciones, está afectando la vida económica del país y los derechos ciudadanos. El parlamento elabora leyes que favorecen a las grandes empresas pesqueras, que afecta a los pescadores artesanales y depreda la fauna marina. Hay muchos casos más que privilegian al gran empresariado por sobre el resto de la ciudadanía”.</w:t>
      </w:r>
    </w:p>
    <w:p w14:paraId="6AF99740" w14:textId="0CDD56A8" w:rsidR="00615780" w:rsidRDefault="00615780" w:rsidP="00615780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Pizarro, Roberto (7 de abril de 2019). </w:t>
      </w:r>
      <w:r w:rsidRPr="00615780">
        <w:rPr>
          <w:rFonts w:ascii="Cambria" w:hAnsi="Cambria"/>
          <w:i/>
          <w:iCs/>
          <w:sz w:val="20"/>
          <w:szCs w:val="20"/>
        </w:rPr>
        <w:t>Chile es un país corrupto</w:t>
      </w:r>
      <w:r>
        <w:rPr>
          <w:rFonts w:ascii="Cambria" w:hAnsi="Cambria"/>
          <w:sz w:val="20"/>
          <w:szCs w:val="20"/>
        </w:rPr>
        <w:t>.</w:t>
      </w:r>
    </w:p>
    <w:p w14:paraId="45B95842" w14:textId="733EBAEF" w:rsidR="00615780" w:rsidRDefault="00615780" w:rsidP="0061578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58911A19" w14:textId="4B048A78" w:rsidR="00615780" w:rsidRDefault="00615780" w:rsidP="0061578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“En el marco de la entrega del informe del Índice de Percepción de la Corrupción (IPC) que realiza Transparencia Internacional, se reveló que Chile, a pesar mantener el mismo puntaje, sigue bajando en el ranking, llegando al peor lugar de su historia. Manteniendo la misma evaluación que en la medición anterior, el país volvió a caer un puesto, pasando del 26 al 27, lo que significa su cuarto retroceso consecutivo desde 2014. De acuerdo con lo expuesto por Alberto </w:t>
      </w:r>
      <w:proofErr w:type="spellStart"/>
      <w:r>
        <w:rPr>
          <w:rFonts w:ascii="Cambria" w:hAnsi="Cambria"/>
          <w:sz w:val="20"/>
          <w:szCs w:val="20"/>
        </w:rPr>
        <w:t>Precht</w:t>
      </w:r>
      <w:proofErr w:type="spellEnd"/>
      <w:r>
        <w:rPr>
          <w:rFonts w:ascii="Cambria" w:hAnsi="Cambria"/>
          <w:sz w:val="20"/>
          <w:szCs w:val="20"/>
        </w:rPr>
        <w:t>, director ejecutivo de Chile Transparente, esta situación responde ‘a los casos de corrupción y falta de probidad que hemos visto en el último tiempo, que se han manifestado en diversas instituciones y órganos del Estado’. ‘Chile requiere que se perfeccionen los sistemas de denuncia y que se fortalezcan las instituciones encargadas de perseguir este tipo de delitos. Además, debe existir mayor protección a testigos y víctimas de la corrupción’, agregó”.</w:t>
      </w:r>
    </w:p>
    <w:p w14:paraId="4B2E430D" w14:textId="27511EEC" w:rsidR="00615780" w:rsidRDefault="00615780" w:rsidP="00615780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La Tercera. (29 de enero 2019). </w:t>
      </w:r>
      <w:r w:rsidRPr="00615780">
        <w:rPr>
          <w:rFonts w:ascii="Cambria" w:hAnsi="Cambria"/>
          <w:i/>
          <w:iCs/>
          <w:sz w:val="20"/>
          <w:szCs w:val="20"/>
        </w:rPr>
        <w:t>Transparencia Internacional ubica a Chile en su peor momento en materia de corrupción</w:t>
      </w:r>
      <w:r>
        <w:rPr>
          <w:rFonts w:ascii="Cambria" w:hAnsi="Cambria"/>
          <w:sz w:val="20"/>
          <w:szCs w:val="20"/>
        </w:rPr>
        <w:t>.</w:t>
      </w:r>
    </w:p>
    <w:p w14:paraId="5BA42901" w14:textId="065EACFF" w:rsidR="00EF794A" w:rsidRDefault="00EF794A" w:rsidP="00EF794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42C3926E" w14:textId="2F70C4EF" w:rsidR="00EF794A" w:rsidRDefault="00EF794A" w:rsidP="00EF794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“El comercio justo promueve un proceso donde las decisiones del comercio y de los ciudadanos- consumidores son construidas y acordadas sobre bases éticas y resoluciones responsables. Su objetivo principal es realizar operaciones a un valor adecuado, que considere el trabajo que demandó la elaboración de un determinado bien, la preocupación ambiental y condiciones laborales óptimas para que éste se llevara a cabo. La idea es generar acuerdos comerciales equitativos en base a estándares éticos que contribuyan a un desarrollo sostenible”.</w:t>
      </w:r>
    </w:p>
    <w:p w14:paraId="43B182D0" w14:textId="6B9FBB29" w:rsidR="00EF794A" w:rsidRDefault="00EF794A" w:rsidP="00EF794A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Ministerio de Economía (2015). </w:t>
      </w:r>
      <w:r w:rsidRPr="00EF794A">
        <w:rPr>
          <w:rFonts w:ascii="Cambria" w:hAnsi="Cambria"/>
          <w:i/>
          <w:iCs/>
          <w:sz w:val="20"/>
          <w:szCs w:val="20"/>
        </w:rPr>
        <w:t>Panorama y proyecciones de la economía social y cooperativa en Chile</w:t>
      </w:r>
      <w:r>
        <w:rPr>
          <w:rFonts w:ascii="Cambria" w:hAnsi="Cambria"/>
          <w:sz w:val="20"/>
          <w:szCs w:val="20"/>
        </w:rPr>
        <w:t>.</w:t>
      </w:r>
    </w:p>
    <w:p w14:paraId="34DC34D2" w14:textId="77777777" w:rsidR="0042719F" w:rsidRDefault="0042719F" w:rsidP="00EF794A">
      <w:pPr>
        <w:spacing w:after="0"/>
        <w:jc w:val="right"/>
        <w:rPr>
          <w:rFonts w:ascii="Cambria" w:hAnsi="Cambria"/>
          <w:sz w:val="20"/>
          <w:szCs w:val="20"/>
        </w:rPr>
      </w:pPr>
    </w:p>
    <w:p w14:paraId="7824BE85" w14:textId="77777777" w:rsidR="00685A15" w:rsidRDefault="00685A15" w:rsidP="00EF794A">
      <w:pPr>
        <w:spacing w:after="0"/>
        <w:jc w:val="right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6"/>
        <w:gridCol w:w="6382"/>
        <w:gridCol w:w="930"/>
      </w:tblGrid>
      <w:tr w:rsidR="00EF794A" w14:paraId="1A8E4AF3" w14:textId="77777777" w:rsidTr="00EC09B0">
        <w:tc>
          <w:tcPr>
            <w:tcW w:w="8978" w:type="dxa"/>
            <w:gridSpan w:val="3"/>
          </w:tcPr>
          <w:p w14:paraId="3692031D" w14:textId="362E5012" w:rsidR="00EF794A" w:rsidRDefault="00EF794A" w:rsidP="00EC09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PAUTA PARA EVALUAR COLUMNA DE OPINIÓN</w:t>
            </w:r>
          </w:p>
        </w:tc>
      </w:tr>
      <w:tr w:rsidR="00EF794A" w14:paraId="753580D2" w14:textId="77777777" w:rsidTr="00EC09B0">
        <w:tc>
          <w:tcPr>
            <w:tcW w:w="1526" w:type="dxa"/>
          </w:tcPr>
          <w:p w14:paraId="5FDE16D4" w14:textId="77777777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6520" w:type="dxa"/>
          </w:tcPr>
          <w:p w14:paraId="661EB8F3" w14:textId="77777777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Descripción</w:t>
            </w:r>
          </w:p>
        </w:tc>
        <w:tc>
          <w:tcPr>
            <w:tcW w:w="932" w:type="dxa"/>
          </w:tcPr>
          <w:p w14:paraId="43AA3EBC" w14:textId="77777777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Puntaje</w:t>
            </w:r>
          </w:p>
        </w:tc>
      </w:tr>
      <w:tr w:rsidR="00EF794A" w14:paraId="3FB52D72" w14:textId="77777777" w:rsidTr="00EC09B0">
        <w:tc>
          <w:tcPr>
            <w:tcW w:w="1526" w:type="dxa"/>
          </w:tcPr>
          <w:p w14:paraId="209BDFEB" w14:textId="0A0A388E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Análisis de la falta de probidad y corrupción</w:t>
            </w:r>
          </w:p>
        </w:tc>
        <w:tc>
          <w:tcPr>
            <w:tcW w:w="6520" w:type="dxa"/>
          </w:tcPr>
          <w:p w14:paraId="16E9F5F1" w14:textId="3A7C6D58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F794A">
              <w:rPr>
                <w:rFonts w:ascii="Cambria" w:hAnsi="Cambria"/>
                <w:sz w:val="20"/>
                <w:szCs w:val="20"/>
              </w:rPr>
              <w:t>El análisis es profundo, abarca ejemplos concretos y está bien fundamentado en las fuentes. Se demuestra una comprensión clara y crítica del problema.</w:t>
            </w:r>
          </w:p>
        </w:tc>
        <w:tc>
          <w:tcPr>
            <w:tcW w:w="932" w:type="dxa"/>
          </w:tcPr>
          <w:p w14:paraId="288CE18A" w14:textId="77777777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F794A" w14:paraId="6469A31E" w14:textId="77777777" w:rsidTr="00EC09B0">
        <w:tc>
          <w:tcPr>
            <w:tcW w:w="1526" w:type="dxa"/>
          </w:tcPr>
          <w:p w14:paraId="249D3EBD" w14:textId="7917AFAB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Efectos de la corrupción</w:t>
            </w:r>
          </w:p>
        </w:tc>
        <w:tc>
          <w:tcPr>
            <w:tcW w:w="6520" w:type="dxa"/>
          </w:tcPr>
          <w:p w14:paraId="3F7CA7B6" w14:textId="74D6B463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F794A">
              <w:rPr>
                <w:rFonts w:ascii="Cambria" w:hAnsi="Cambria"/>
                <w:sz w:val="20"/>
                <w:szCs w:val="20"/>
              </w:rPr>
              <w:t>Los efectos de la corrupción en la población están claramente explicados, con ejemplos bien seleccionados que reflejan un análisis detallado.</w:t>
            </w:r>
          </w:p>
        </w:tc>
        <w:tc>
          <w:tcPr>
            <w:tcW w:w="932" w:type="dxa"/>
          </w:tcPr>
          <w:p w14:paraId="2C3ABCCC" w14:textId="77777777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F794A" w14:paraId="30DC60A8" w14:textId="77777777" w:rsidTr="00EC09B0">
        <w:tc>
          <w:tcPr>
            <w:tcW w:w="1526" w:type="dxa"/>
          </w:tcPr>
          <w:p w14:paraId="43A39AE7" w14:textId="761B2508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Ejemplos concretos</w:t>
            </w:r>
          </w:p>
        </w:tc>
        <w:tc>
          <w:tcPr>
            <w:tcW w:w="6520" w:type="dxa"/>
          </w:tcPr>
          <w:p w14:paraId="767A640F" w14:textId="74C491EF" w:rsidR="00EF794A" w:rsidRPr="00016A59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F794A">
              <w:rPr>
                <w:rFonts w:ascii="Cambria" w:hAnsi="Cambria"/>
                <w:sz w:val="20"/>
                <w:szCs w:val="20"/>
              </w:rPr>
              <w:t>Se incluyen múltiples ejemplos concretos y relevantes de corrupción, integrados de manera coherente en el análisis.</w:t>
            </w:r>
          </w:p>
        </w:tc>
        <w:tc>
          <w:tcPr>
            <w:tcW w:w="932" w:type="dxa"/>
          </w:tcPr>
          <w:p w14:paraId="505D92FA" w14:textId="77777777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F794A" w14:paraId="40979F31" w14:textId="77777777" w:rsidTr="00EC09B0">
        <w:tc>
          <w:tcPr>
            <w:tcW w:w="1526" w:type="dxa"/>
          </w:tcPr>
          <w:p w14:paraId="1174CCB9" w14:textId="09D57B95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Comercio justo</w:t>
            </w:r>
          </w:p>
        </w:tc>
        <w:tc>
          <w:tcPr>
            <w:tcW w:w="6520" w:type="dxa"/>
          </w:tcPr>
          <w:p w14:paraId="48DE97D1" w14:textId="79464A26" w:rsidR="00EF794A" w:rsidRPr="00016A59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F794A">
              <w:rPr>
                <w:rFonts w:ascii="Cambria" w:hAnsi="Cambria"/>
                <w:sz w:val="20"/>
                <w:szCs w:val="20"/>
              </w:rPr>
              <w:t>El análisis del comercio justo es profundo y está bien relacionado con la probidad y la lucha contra la corrupción. Se fundamenta en la fuente 3 y ofrece propuestas claras.</w:t>
            </w:r>
          </w:p>
        </w:tc>
        <w:tc>
          <w:tcPr>
            <w:tcW w:w="932" w:type="dxa"/>
          </w:tcPr>
          <w:p w14:paraId="1E731920" w14:textId="77777777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F794A" w14:paraId="2DE7308A" w14:textId="77777777" w:rsidTr="00EC09B0">
        <w:tc>
          <w:tcPr>
            <w:tcW w:w="1526" w:type="dxa"/>
          </w:tcPr>
          <w:p w14:paraId="13C2E7FB" w14:textId="6D46B382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Propuestas</w:t>
            </w:r>
          </w:p>
        </w:tc>
        <w:tc>
          <w:tcPr>
            <w:tcW w:w="6520" w:type="dxa"/>
          </w:tcPr>
          <w:p w14:paraId="374A3F1B" w14:textId="488A4CA0" w:rsidR="00EF794A" w:rsidRPr="00016A59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F794A">
              <w:rPr>
                <w:rFonts w:ascii="Cambria" w:hAnsi="Cambria"/>
                <w:sz w:val="20"/>
                <w:szCs w:val="20"/>
              </w:rPr>
              <w:t>Las propuestas son originales, viables y bien fundamentadas, ofreciendo soluciones concretas para aumentar la probidad y el comercio justo.</w:t>
            </w:r>
          </w:p>
        </w:tc>
        <w:tc>
          <w:tcPr>
            <w:tcW w:w="932" w:type="dxa"/>
          </w:tcPr>
          <w:p w14:paraId="3663CE1E" w14:textId="77777777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F794A" w14:paraId="2B13B2DB" w14:textId="77777777" w:rsidTr="00EC09B0">
        <w:tc>
          <w:tcPr>
            <w:tcW w:w="1526" w:type="dxa"/>
          </w:tcPr>
          <w:p w14:paraId="193DD73B" w14:textId="6839FFA9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Juicio de valor</w:t>
            </w:r>
          </w:p>
        </w:tc>
        <w:tc>
          <w:tcPr>
            <w:tcW w:w="6520" w:type="dxa"/>
          </w:tcPr>
          <w:p w14:paraId="7476B5A4" w14:textId="37DDF54A" w:rsidR="00EF794A" w:rsidRPr="00016A59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F794A">
              <w:rPr>
                <w:rFonts w:ascii="Cambria" w:hAnsi="Cambria"/>
                <w:sz w:val="20"/>
                <w:szCs w:val="20"/>
              </w:rPr>
              <w:t>El juicio de valor está claramente expuesto y argumentado, con una postura bien fundamentada en el análisis de las fuentes.</w:t>
            </w:r>
          </w:p>
        </w:tc>
        <w:tc>
          <w:tcPr>
            <w:tcW w:w="932" w:type="dxa"/>
          </w:tcPr>
          <w:p w14:paraId="09235229" w14:textId="77777777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F794A" w14:paraId="0727F5A2" w14:textId="77777777" w:rsidTr="00EC09B0">
        <w:tc>
          <w:tcPr>
            <w:tcW w:w="1526" w:type="dxa"/>
          </w:tcPr>
          <w:p w14:paraId="5CEC423F" w14:textId="1F1D412C" w:rsidR="00EF794A" w:rsidRDefault="0042719F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Estructura y redacción</w:t>
            </w:r>
          </w:p>
        </w:tc>
        <w:tc>
          <w:tcPr>
            <w:tcW w:w="6520" w:type="dxa"/>
          </w:tcPr>
          <w:p w14:paraId="6EB649D1" w14:textId="5B54D544" w:rsidR="00EF794A" w:rsidRPr="00EF794A" w:rsidRDefault="0042719F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2719F">
              <w:rPr>
                <w:rFonts w:ascii="Cambria" w:hAnsi="Cambria"/>
                <w:sz w:val="20"/>
                <w:szCs w:val="20"/>
              </w:rPr>
              <w:t>La columna está bien estructurada, con ideas claras, secuenciadas y bien organizadas.</w:t>
            </w:r>
            <w:r>
              <w:rPr>
                <w:rFonts w:ascii="Cambria" w:hAnsi="Cambria"/>
                <w:sz w:val="20"/>
                <w:szCs w:val="20"/>
              </w:rPr>
              <w:t xml:space="preserve"> No presenta faltas ortográficas ni de redacción</w:t>
            </w:r>
          </w:p>
        </w:tc>
        <w:tc>
          <w:tcPr>
            <w:tcW w:w="932" w:type="dxa"/>
          </w:tcPr>
          <w:p w14:paraId="623ADC72" w14:textId="77777777" w:rsidR="00EF794A" w:rsidRDefault="00EF794A" w:rsidP="00EC09B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E4475A" w14:textId="77777777" w:rsidR="00EF794A" w:rsidRPr="00615780" w:rsidRDefault="00EF794A" w:rsidP="00EF794A">
      <w:pPr>
        <w:spacing w:after="0"/>
        <w:jc w:val="both"/>
        <w:rPr>
          <w:rFonts w:ascii="Cambria" w:hAnsi="Cambria"/>
          <w:sz w:val="20"/>
          <w:szCs w:val="20"/>
        </w:rPr>
      </w:pPr>
    </w:p>
    <w:p w14:paraId="25F2818A" w14:textId="77777777" w:rsidR="00A970F6" w:rsidRDefault="00A970F6"/>
    <w:sectPr w:rsidR="00A970F6" w:rsidSect="0042719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D0C7" w14:textId="77777777" w:rsidR="0049693D" w:rsidRDefault="0049693D" w:rsidP="00615780">
      <w:pPr>
        <w:spacing w:after="0" w:line="240" w:lineRule="auto"/>
      </w:pPr>
      <w:r>
        <w:separator/>
      </w:r>
    </w:p>
  </w:endnote>
  <w:endnote w:type="continuationSeparator" w:id="0">
    <w:p w14:paraId="724702C0" w14:textId="77777777" w:rsidR="0049693D" w:rsidRDefault="0049693D" w:rsidP="0061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63CB" w14:textId="77777777" w:rsidR="0049693D" w:rsidRDefault="0049693D" w:rsidP="00615780">
      <w:pPr>
        <w:spacing w:after="0" w:line="240" w:lineRule="auto"/>
      </w:pPr>
      <w:r>
        <w:separator/>
      </w:r>
    </w:p>
  </w:footnote>
  <w:footnote w:type="continuationSeparator" w:id="0">
    <w:p w14:paraId="3CF00897" w14:textId="77777777" w:rsidR="0049693D" w:rsidRDefault="0049693D" w:rsidP="0061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FA6B" w14:textId="4BC0F28F" w:rsidR="00615780" w:rsidRDefault="0042719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6438B" wp14:editId="2583C8F4">
              <wp:simplePos x="0" y="0"/>
              <wp:positionH relativeFrom="column">
                <wp:posOffset>4378960</wp:posOffset>
              </wp:positionH>
              <wp:positionV relativeFrom="paragraph">
                <wp:posOffset>-26670</wp:posOffset>
              </wp:positionV>
              <wp:extent cx="1905000" cy="476885"/>
              <wp:effectExtent l="0" t="0" r="0" b="0"/>
              <wp:wrapNone/>
              <wp:docPr id="41309898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5F06F3" w14:textId="77777777" w:rsidR="00615780" w:rsidRPr="00732B2B" w:rsidRDefault="00615780" w:rsidP="00615780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D9A903D" w14:textId="77777777" w:rsidR="00615780" w:rsidRPr="00732B2B" w:rsidRDefault="00615780" w:rsidP="00615780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3D9C46A8" w14:textId="77777777" w:rsidR="00615780" w:rsidRPr="00732B2B" w:rsidRDefault="00615780" w:rsidP="00615780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6438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4.8pt;margin-top:-2.1pt;width:150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p3Q8b90AAAAJAQAADwAAAGRycy9kb3du&#10;cmV2LnhtbEyPTU/DMAyG70j8h8hI3LZkE5S11J0mPiQOXBjlnjWmqWicqsnW7t8TuMDR9qPXz1tu&#10;Z9eLE42h84ywWioQxI03HbcI9fvzYgMiRM1G954J4UwBttXlRakL4yd+o9M+tiKFcCg0go1xKKQM&#10;jSWnw9IPxOn26UenYxrHVppRTync9XKtVCad7jh9sHqgB0vN1/7oEGI0u9W5fnLh5WN+fZysam51&#10;jXh9Ne/uQUSa4x8MP/pJHarkdPBHNkH0CNkmzxKKsLhZg0hA/rs4INypHGRVyv8Nqm8AAAD//wMA&#10;UEsBAi0AFAAGAAgAAAAhALaDOJL+AAAA4QEAABMAAAAAAAAAAAAAAAAAAAAAAFtDb250ZW50X1R5&#10;cGVzXS54bWxQSwECLQAUAAYACAAAACEAOP0h/9YAAACUAQAACwAAAAAAAAAAAAAAAAAvAQAAX3Jl&#10;bHMvLnJlbHNQSwECLQAUAAYACAAAACEA72ffQoIBAAD3AgAADgAAAAAAAAAAAAAAAAAuAgAAZHJz&#10;L2Uyb0RvYy54bWxQSwECLQAUAAYACAAAACEAp3Q8b90AAAAJAQAADwAAAAAAAAAAAAAAAADcAwAA&#10;ZHJzL2Rvd25yZXYueG1sUEsFBgAAAAAEAAQA8wAAAOYEAAAAAA==&#10;" filled="f" stroked="f">
              <v:textbox style="mso-fit-shape-to-text:t">
                <w:txbxContent>
                  <w:p w14:paraId="795F06F3" w14:textId="77777777" w:rsidR="00615780" w:rsidRPr="00732B2B" w:rsidRDefault="00615780" w:rsidP="00615780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4D9A903D" w14:textId="77777777" w:rsidR="00615780" w:rsidRPr="00732B2B" w:rsidRDefault="00615780" w:rsidP="00615780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3D9C46A8" w14:textId="77777777" w:rsidR="00615780" w:rsidRPr="00732B2B" w:rsidRDefault="00615780" w:rsidP="00615780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3°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A2D41" wp14:editId="0EA94377">
              <wp:simplePos x="0" y="0"/>
              <wp:positionH relativeFrom="column">
                <wp:posOffset>-438785</wp:posOffset>
              </wp:positionH>
              <wp:positionV relativeFrom="paragraph">
                <wp:posOffset>-226060</wp:posOffset>
              </wp:positionV>
              <wp:extent cx="2040890" cy="676275"/>
              <wp:effectExtent l="0" t="0" r="0" b="0"/>
              <wp:wrapNone/>
              <wp:docPr id="54006841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64BA4" w14:textId="77777777" w:rsidR="00615780" w:rsidRDefault="00615780" w:rsidP="0061578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0609A95" w14:textId="77777777" w:rsidR="00615780" w:rsidRDefault="00615780" w:rsidP="0061578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5173552" w14:textId="77777777" w:rsidR="00615780" w:rsidRDefault="00615780" w:rsidP="0061578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4E02A182" wp14:editId="55FAC51A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A2D41" id="Cuadro de texto 4" o:spid="_x0000_s1027" type="#_x0000_t202" style="position:absolute;margin-left:-34.55pt;margin-top:-17.8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dJoFE4AAAAAoBAAAPAAAAZHJzL2Rvd25yZXYueG1sTI/BTsMwDIbvSLxDZCRuW7JOK7Q0&#10;nSYEJyREVw4c0yZrozVOabKtvD3mxG62/On39xfb2Q3sbKZgPUpYLQUwg63XFjsJn/Xr4hFYiAq1&#10;GjwaCT8mwLa8vSlUrv0FK3Pex45RCIZcSehjHHPOQ9sbp8LSjwbpdvCTU5HWqeN6UhcKdwNPhEi5&#10;UxbpQ69G89yb9rg/OQm7L6xe7Pd781EdKlvXmcC39Cjl/d28ewIWzRz/YfjTJ3UoyanxJ9SBDRIW&#10;abYilIb1JgVGRLJJ1sAaCQ8iA14W/LpC+Qs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dJoFE4AAAAAoBAAAPAAAAAAAAAAAAAAAAADIEAABkcnMvZG93bnJldi54bWxQSwUGAAAAAAQA&#10;BADzAAAAPwUAAAAA&#10;" filled="f" stroked="f">
              <v:textbox inset="0,0,0,0">
                <w:txbxContent>
                  <w:p w14:paraId="46164BA4" w14:textId="77777777" w:rsidR="00615780" w:rsidRDefault="00615780" w:rsidP="0061578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0609A95" w14:textId="77777777" w:rsidR="00615780" w:rsidRDefault="00615780" w:rsidP="0061578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75173552" w14:textId="77777777" w:rsidR="00615780" w:rsidRDefault="00615780" w:rsidP="0061578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4E02A182" wp14:editId="55FAC51A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71C7B"/>
    <w:multiLevelType w:val="hybridMultilevel"/>
    <w:tmpl w:val="FF3AEFFA"/>
    <w:lvl w:ilvl="0" w:tplc="26B2E6C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714FC"/>
    <w:multiLevelType w:val="hybridMultilevel"/>
    <w:tmpl w:val="C60E9F10"/>
    <w:lvl w:ilvl="0" w:tplc="7A3A82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2361455">
    <w:abstractNumId w:val="0"/>
  </w:num>
  <w:num w:numId="2" w16cid:durableId="135319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80"/>
    <w:rsid w:val="001425B9"/>
    <w:rsid w:val="001D1BA5"/>
    <w:rsid w:val="00235DF3"/>
    <w:rsid w:val="0042719F"/>
    <w:rsid w:val="0049693D"/>
    <w:rsid w:val="004B6D70"/>
    <w:rsid w:val="005206A2"/>
    <w:rsid w:val="00543622"/>
    <w:rsid w:val="00615780"/>
    <w:rsid w:val="00685A15"/>
    <w:rsid w:val="007328DD"/>
    <w:rsid w:val="009F66AA"/>
    <w:rsid w:val="009F6EC2"/>
    <w:rsid w:val="00A970F6"/>
    <w:rsid w:val="00B83C9A"/>
    <w:rsid w:val="00D91BDF"/>
    <w:rsid w:val="00E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66391"/>
  <w15:chartTrackingRefBased/>
  <w15:docId w15:val="{4C768B6E-D6DA-4294-B360-30BF40F2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615780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15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5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5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5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5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5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5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5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578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578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5780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5780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5780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5780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5780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5780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5780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615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5780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615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578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615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5780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6157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57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5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5780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6157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15780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5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780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15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780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2024-10-21T17:45:00Z</cp:lastPrinted>
  <dcterms:created xsi:type="dcterms:W3CDTF">2024-10-21T17:45:00Z</dcterms:created>
  <dcterms:modified xsi:type="dcterms:W3CDTF">2024-10-21T17:45:00Z</dcterms:modified>
</cp:coreProperties>
</file>