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CE1AB" w14:textId="7D64C498" w:rsidR="00494D6A" w:rsidRDefault="00494D6A" w:rsidP="00494D6A">
      <w:pPr>
        <w:spacing w:after="0"/>
        <w:jc w:val="center"/>
        <w:rPr>
          <w:rFonts w:ascii="Cambria" w:hAnsi="Cambria"/>
          <w:b/>
          <w:bCs/>
          <w:sz w:val="24"/>
          <w:szCs w:val="24"/>
          <w:u w:val="single"/>
        </w:rPr>
      </w:pPr>
      <w:r>
        <w:rPr>
          <w:rFonts w:ascii="Cambria" w:hAnsi="Cambria"/>
          <w:b/>
          <w:bCs/>
          <w:sz w:val="24"/>
          <w:szCs w:val="24"/>
          <w:u w:val="single"/>
        </w:rPr>
        <w:t>TALLER 21</w:t>
      </w:r>
    </w:p>
    <w:p w14:paraId="663A0488" w14:textId="3BD38214" w:rsidR="00494D6A" w:rsidRDefault="00494D6A" w:rsidP="00494D6A">
      <w:pPr>
        <w:jc w:val="center"/>
        <w:rPr>
          <w:rFonts w:ascii="Cambria" w:hAnsi="Cambria"/>
          <w:b/>
          <w:bCs/>
          <w:sz w:val="24"/>
          <w:szCs w:val="24"/>
          <w:u w:val="single"/>
        </w:rPr>
      </w:pPr>
      <w:r>
        <w:rPr>
          <w:rFonts w:ascii="Cambria" w:hAnsi="Cambria"/>
          <w:b/>
          <w:bCs/>
          <w:sz w:val="24"/>
          <w:szCs w:val="24"/>
          <w:u w:val="single"/>
        </w:rPr>
        <w:t>DESARROLLO SUSTENTABLE</w:t>
      </w:r>
    </w:p>
    <w:tbl>
      <w:tblPr>
        <w:tblStyle w:val="Tablaconcuadrcula"/>
        <w:tblW w:w="0" w:type="auto"/>
        <w:tblLook w:val="04A0" w:firstRow="1" w:lastRow="0" w:firstColumn="1" w:lastColumn="0" w:noHBand="0" w:noVBand="1"/>
      </w:tblPr>
      <w:tblGrid>
        <w:gridCol w:w="1696"/>
        <w:gridCol w:w="7132"/>
      </w:tblGrid>
      <w:tr w:rsidR="00494D6A" w14:paraId="7B1B7227" w14:textId="77777777" w:rsidTr="00253284">
        <w:tc>
          <w:tcPr>
            <w:tcW w:w="1696" w:type="dxa"/>
          </w:tcPr>
          <w:p w14:paraId="5ACCC413" w14:textId="77777777" w:rsidR="00494D6A" w:rsidRDefault="00494D6A" w:rsidP="00253284">
            <w:pPr>
              <w:jc w:val="both"/>
              <w:rPr>
                <w:rFonts w:ascii="Cambria" w:hAnsi="Cambria"/>
              </w:rPr>
            </w:pPr>
            <w:r>
              <w:rPr>
                <w:rFonts w:ascii="Cambria" w:hAnsi="Cambria"/>
              </w:rPr>
              <w:t>Nombre</w:t>
            </w:r>
          </w:p>
        </w:tc>
        <w:tc>
          <w:tcPr>
            <w:tcW w:w="7132" w:type="dxa"/>
          </w:tcPr>
          <w:p w14:paraId="7C8AFD11" w14:textId="77777777" w:rsidR="00494D6A" w:rsidRDefault="00494D6A" w:rsidP="00253284">
            <w:pPr>
              <w:jc w:val="both"/>
              <w:rPr>
                <w:rFonts w:ascii="Cambria" w:hAnsi="Cambria"/>
              </w:rPr>
            </w:pPr>
          </w:p>
        </w:tc>
      </w:tr>
      <w:tr w:rsidR="00494D6A" w14:paraId="6E8EB5A5" w14:textId="77777777" w:rsidTr="00253284">
        <w:tc>
          <w:tcPr>
            <w:tcW w:w="1696" w:type="dxa"/>
          </w:tcPr>
          <w:p w14:paraId="66F74178" w14:textId="77777777" w:rsidR="00494D6A" w:rsidRDefault="00494D6A" w:rsidP="00253284">
            <w:pPr>
              <w:jc w:val="both"/>
              <w:rPr>
                <w:rFonts w:ascii="Cambria" w:hAnsi="Cambria"/>
              </w:rPr>
            </w:pPr>
            <w:r>
              <w:rPr>
                <w:rFonts w:ascii="Cambria" w:hAnsi="Cambria"/>
              </w:rPr>
              <w:t>Fecha</w:t>
            </w:r>
          </w:p>
        </w:tc>
        <w:tc>
          <w:tcPr>
            <w:tcW w:w="7132" w:type="dxa"/>
          </w:tcPr>
          <w:p w14:paraId="369789D0" w14:textId="0F0AABE2" w:rsidR="00494D6A" w:rsidRDefault="00494D6A" w:rsidP="00253284">
            <w:pPr>
              <w:tabs>
                <w:tab w:val="left" w:pos="1770"/>
              </w:tabs>
              <w:jc w:val="both"/>
              <w:rPr>
                <w:rFonts w:ascii="Cambria" w:hAnsi="Cambria"/>
              </w:rPr>
            </w:pPr>
            <w:r>
              <w:rPr>
                <w:rFonts w:ascii="Cambria" w:hAnsi="Cambria"/>
              </w:rPr>
              <w:t>29/11/2024</w:t>
            </w:r>
          </w:p>
        </w:tc>
      </w:tr>
    </w:tbl>
    <w:p w14:paraId="73DB66E9" w14:textId="77777777" w:rsidR="00494D6A" w:rsidRDefault="00494D6A" w:rsidP="00494D6A">
      <w:pPr>
        <w:jc w:val="both"/>
        <w:rPr>
          <w:rFonts w:ascii="Cambria" w:hAnsi="Cambria"/>
          <w:b/>
          <w:bCs/>
        </w:rPr>
      </w:pPr>
      <w:r>
        <w:rPr>
          <w:rFonts w:ascii="Cambria" w:hAnsi="Cambria"/>
          <w:b/>
          <w:bCs/>
        </w:rPr>
        <w:t>Objetivo: Explicar la productividad y carga tributaria a través de fuentes para buscar soluciones que mejoren el funcionamiento de la sociedad.</w:t>
      </w:r>
    </w:p>
    <w:p w14:paraId="4307EF1B" w14:textId="77777777" w:rsidR="00494D6A" w:rsidRDefault="00494D6A" w:rsidP="00494D6A">
      <w:pPr>
        <w:spacing w:after="0"/>
        <w:jc w:val="both"/>
        <w:rPr>
          <w:rFonts w:ascii="Cambria" w:hAnsi="Cambria"/>
          <w:b/>
          <w:bCs/>
        </w:rPr>
      </w:pPr>
      <w:r>
        <w:rPr>
          <w:rFonts w:ascii="Cambria" w:hAnsi="Cambria"/>
          <w:b/>
          <w:bCs/>
        </w:rPr>
        <w:t>Instrucciones:</w:t>
      </w:r>
    </w:p>
    <w:p w14:paraId="671F6F79" w14:textId="391E1663" w:rsidR="00494D6A" w:rsidRDefault="00494D6A" w:rsidP="00494D6A">
      <w:pPr>
        <w:pStyle w:val="Prrafodelista"/>
        <w:numPr>
          <w:ilvl w:val="0"/>
          <w:numId w:val="1"/>
        </w:numPr>
        <w:spacing w:after="0"/>
        <w:rPr>
          <w:rFonts w:ascii="Cambria" w:hAnsi="Cambria"/>
        </w:rPr>
      </w:pPr>
      <w:r w:rsidRPr="00452F98">
        <w:rPr>
          <w:rFonts w:ascii="Cambria" w:hAnsi="Cambria"/>
        </w:rPr>
        <w:t>Lee las fuentes y responde las preguntas</w:t>
      </w:r>
    </w:p>
    <w:p w14:paraId="08201460" w14:textId="49FC5387" w:rsidR="009A2304" w:rsidRDefault="009A2304" w:rsidP="009A2304">
      <w:pPr>
        <w:pStyle w:val="Prrafodelista"/>
        <w:numPr>
          <w:ilvl w:val="0"/>
          <w:numId w:val="2"/>
        </w:numPr>
        <w:spacing w:after="0"/>
        <w:rPr>
          <w:rFonts w:ascii="Cambria" w:hAnsi="Cambria"/>
        </w:rPr>
      </w:pPr>
      <w:r>
        <w:rPr>
          <w:rFonts w:ascii="Cambria" w:hAnsi="Cambria"/>
        </w:rPr>
        <w:t>¿En qué sector presta su análisis las fuentes 1 y 2?, ¿en qué medida sus posturas son compatibles? Fundamenta</w:t>
      </w:r>
    </w:p>
    <w:p w14:paraId="5E6CB8EC" w14:textId="6210E21F" w:rsidR="003C5466" w:rsidRDefault="003C5466" w:rsidP="009A2304">
      <w:pPr>
        <w:pStyle w:val="Prrafodelista"/>
        <w:numPr>
          <w:ilvl w:val="0"/>
          <w:numId w:val="2"/>
        </w:numPr>
        <w:spacing w:after="0"/>
        <w:rPr>
          <w:rFonts w:ascii="Cambria" w:hAnsi="Cambria"/>
        </w:rPr>
      </w:pPr>
      <w:r>
        <w:rPr>
          <w:rFonts w:ascii="Cambria" w:hAnsi="Cambria"/>
        </w:rPr>
        <w:t>¿Qué medidas desde el Estado y el mercado se pueden aplicar en el caso expuesto en la fuente 3 para hacerlo sustentable?</w:t>
      </w:r>
    </w:p>
    <w:p w14:paraId="2ED98464" w14:textId="08576B35" w:rsidR="009A2304" w:rsidRPr="009A2304" w:rsidRDefault="009A2304" w:rsidP="009A2304">
      <w:pPr>
        <w:pStyle w:val="Prrafodelista"/>
        <w:numPr>
          <w:ilvl w:val="0"/>
          <w:numId w:val="2"/>
        </w:numPr>
        <w:spacing w:after="0"/>
        <w:rPr>
          <w:rFonts w:ascii="Cambria" w:hAnsi="Cambria"/>
        </w:rPr>
      </w:pPr>
      <w:r>
        <w:rPr>
          <w:rFonts w:ascii="Cambria" w:hAnsi="Cambria"/>
        </w:rPr>
        <w:t>A partir de las fuentes genera dos argumentos a favor y dos en contra respecto a la siguiente pregunta ¿es compatible el desarrollo sustentable con el modelo económico chileno?</w:t>
      </w:r>
    </w:p>
    <w:p w14:paraId="2ED3E391" w14:textId="24DF0B1B" w:rsidR="00494D6A" w:rsidRDefault="00494D6A" w:rsidP="00494D6A">
      <w:pPr>
        <w:spacing w:after="0"/>
        <w:rPr>
          <w:rFonts w:ascii="Cambria" w:hAnsi="Cambria"/>
          <w:sz w:val="20"/>
          <w:szCs w:val="20"/>
        </w:rPr>
      </w:pPr>
      <w:r>
        <w:rPr>
          <w:rFonts w:ascii="Cambria" w:hAnsi="Cambria"/>
          <w:sz w:val="20"/>
          <w:szCs w:val="20"/>
        </w:rPr>
        <w:t>Fuente 1:</w:t>
      </w:r>
    </w:p>
    <w:p w14:paraId="2A2184B4" w14:textId="455F051E" w:rsidR="00494D6A" w:rsidRDefault="00494D6A" w:rsidP="00494D6A">
      <w:pPr>
        <w:spacing w:after="0"/>
        <w:jc w:val="both"/>
        <w:rPr>
          <w:rFonts w:ascii="Cambria" w:hAnsi="Cambria"/>
          <w:sz w:val="20"/>
          <w:szCs w:val="20"/>
        </w:rPr>
      </w:pPr>
      <w:r>
        <w:rPr>
          <w:rFonts w:ascii="Cambria" w:hAnsi="Cambria"/>
          <w:sz w:val="20"/>
          <w:szCs w:val="20"/>
        </w:rPr>
        <w:t>“Tenemos la posibilidad de ser pioneros de una estrategia que compatibilice el desarrollo, el crecimiento, el empleo y la inversión con la equidad, la justica, la inclusión y la sustentabilidad. Esa posibilidad surge, esencialmente, de ventajes potenciales que tenemos para ser protagonistas de revolución solar y eléctrica global, que es central para enfrentar la crisis climática.</w:t>
      </w:r>
    </w:p>
    <w:p w14:paraId="5C6D6DDB" w14:textId="756CD261" w:rsidR="00494D6A" w:rsidRDefault="00494D6A" w:rsidP="00494D6A">
      <w:pPr>
        <w:spacing w:after="0"/>
        <w:jc w:val="both"/>
        <w:rPr>
          <w:rFonts w:ascii="Cambria" w:hAnsi="Cambria"/>
          <w:sz w:val="20"/>
          <w:szCs w:val="20"/>
        </w:rPr>
      </w:pPr>
      <w:r>
        <w:rPr>
          <w:rFonts w:ascii="Cambria" w:hAnsi="Cambria"/>
          <w:sz w:val="20"/>
          <w:szCs w:val="20"/>
        </w:rPr>
        <w:t>Pero nada de esto va a ocurrir sin una estrategia de desarrollo que (a) recupere el rol estratégico del Estado, esto es, supere el concepto de rol subsidiario imperante en la constitución e institucionalidad; (b) reforme la ética y la práctica política y pública para que ese mayor rol del Estado sea legitimo ante la ciudadanía; (c) fomente pactos de desarrollo entre el Estado, empresas, sindicatos y comunidades, y (d) haga apuestas estratégicas nacionales activando el rol de las empresas públicas y universidades del Estado”.</w:t>
      </w:r>
    </w:p>
    <w:p w14:paraId="42AA3F51" w14:textId="2E64E172" w:rsidR="00494D6A" w:rsidRDefault="00494D6A" w:rsidP="00494D6A">
      <w:pPr>
        <w:spacing w:after="0"/>
        <w:jc w:val="right"/>
        <w:rPr>
          <w:rFonts w:ascii="Cambria" w:hAnsi="Cambria"/>
          <w:sz w:val="20"/>
          <w:szCs w:val="20"/>
        </w:rPr>
      </w:pPr>
      <w:proofErr w:type="spellStart"/>
      <w:r>
        <w:rPr>
          <w:rFonts w:ascii="Cambria" w:hAnsi="Cambria"/>
          <w:sz w:val="20"/>
          <w:szCs w:val="20"/>
        </w:rPr>
        <w:t>Landerretche</w:t>
      </w:r>
      <w:proofErr w:type="spellEnd"/>
      <w:r>
        <w:rPr>
          <w:rFonts w:ascii="Cambria" w:hAnsi="Cambria"/>
          <w:sz w:val="20"/>
          <w:szCs w:val="20"/>
        </w:rPr>
        <w:t xml:space="preserve">, Oscar (25 de septiembre 2019). </w:t>
      </w:r>
      <w:r w:rsidRPr="00494D6A">
        <w:rPr>
          <w:rFonts w:ascii="Cambria" w:hAnsi="Cambria"/>
          <w:i/>
          <w:iCs/>
          <w:sz w:val="20"/>
          <w:szCs w:val="20"/>
        </w:rPr>
        <w:t>Nunca desperdicies una crisis</w:t>
      </w:r>
      <w:r>
        <w:rPr>
          <w:rFonts w:ascii="Cambria" w:hAnsi="Cambria"/>
          <w:sz w:val="20"/>
          <w:szCs w:val="20"/>
        </w:rPr>
        <w:t>.</w:t>
      </w:r>
    </w:p>
    <w:p w14:paraId="28FC36BE" w14:textId="779F6E8A" w:rsidR="00494D6A" w:rsidRDefault="00494D6A" w:rsidP="00494D6A">
      <w:pPr>
        <w:spacing w:after="0"/>
        <w:jc w:val="both"/>
        <w:rPr>
          <w:rFonts w:ascii="Cambria" w:hAnsi="Cambria"/>
          <w:sz w:val="20"/>
          <w:szCs w:val="20"/>
        </w:rPr>
      </w:pPr>
      <w:r>
        <w:rPr>
          <w:rFonts w:ascii="Cambria" w:hAnsi="Cambria"/>
          <w:sz w:val="20"/>
          <w:szCs w:val="20"/>
        </w:rPr>
        <w:t>Fuente 2:</w:t>
      </w:r>
    </w:p>
    <w:p w14:paraId="24CD3430" w14:textId="62D19A82" w:rsidR="00494D6A" w:rsidRDefault="00494D6A" w:rsidP="00494D6A">
      <w:pPr>
        <w:spacing w:after="0"/>
        <w:jc w:val="both"/>
        <w:rPr>
          <w:rFonts w:ascii="Cambria" w:hAnsi="Cambria"/>
          <w:sz w:val="20"/>
          <w:szCs w:val="20"/>
        </w:rPr>
      </w:pPr>
      <w:r>
        <w:rPr>
          <w:rFonts w:ascii="Cambria" w:hAnsi="Cambria"/>
          <w:sz w:val="20"/>
          <w:szCs w:val="20"/>
        </w:rPr>
        <w:t xml:space="preserve">“La sustentabilidad es el camino a la rentabilidad. La gran pugna siempre ha sido entre el cuidado del medio ambiente y el desarrollo económico y la productividad. La respuesta esta dada en la sustentabilidad. </w:t>
      </w:r>
    </w:p>
    <w:p w14:paraId="7ED55BA7" w14:textId="2BADA7B2" w:rsidR="00494D6A" w:rsidRDefault="00494D6A" w:rsidP="00494D6A">
      <w:pPr>
        <w:spacing w:after="0"/>
        <w:jc w:val="both"/>
        <w:rPr>
          <w:rFonts w:ascii="Cambria" w:hAnsi="Cambria"/>
          <w:sz w:val="20"/>
          <w:szCs w:val="20"/>
        </w:rPr>
      </w:pPr>
      <w:r>
        <w:rPr>
          <w:rFonts w:ascii="Cambria" w:hAnsi="Cambria"/>
          <w:sz w:val="20"/>
          <w:szCs w:val="20"/>
        </w:rPr>
        <w:t>Cuando el cuidado del medio ambiente y las demandas sociales terminan matando la inversión y, como consecuencia, impidiendo el crecimiento, el propio ciudadano que -a lo mejor- alzó la voz contra un proyecto que no le pareció viable, de pronto se da cuenta de la necesidad de generar un equilibrio, por que de eso se trata. Una inversión que no sea ambientalmente sustentable tarde o temprano va a dejar de ser rentable y terminan perdiendo tanto el inversionista como la ciudadanía. Por tanto</w:t>
      </w:r>
      <w:r w:rsidR="009A2304">
        <w:rPr>
          <w:rFonts w:ascii="Cambria" w:hAnsi="Cambria"/>
          <w:sz w:val="20"/>
          <w:szCs w:val="20"/>
        </w:rPr>
        <w:t>,</w:t>
      </w:r>
      <w:r>
        <w:rPr>
          <w:rFonts w:ascii="Cambria" w:hAnsi="Cambria"/>
          <w:sz w:val="20"/>
          <w:szCs w:val="20"/>
        </w:rPr>
        <w:t xml:space="preserve"> la sustentabilidad tiene que correr por ambos carriles. Si hoy alguien está pensando en un conser</w:t>
      </w:r>
      <w:r w:rsidR="009A2304">
        <w:rPr>
          <w:rFonts w:ascii="Cambria" w:hAnsi="Cambria"/>
          <w:sz w:val="20"/>
          <w:szCs w:val="20"/>
        </w:rPr>
        <w:t>vacionismo extremo, eso significaría paralizar el crecimiento y eso no se sostiene en sí mismo”.</w:t>
      </w:r>
    </w:p>
    <w:p w14:paraId="6BBE792B" w14:textId="413FB373" w:rsidR="009A2304" w:rsidRDefault="009A2304" w:rsidP="009A2304">
      <w:pPr>
        <w:spacing w:after="0"/>
        <w:jc w:val="right"/>
        <w:rPr>
          <w:rFonts w:ascii="Cambria" w:hAnsi="Cambria"/>
          <w:sz w:val="20"/>
          <w:szCs w:val="20"/>
        </w:rPr>
      </w:pPr>
      <w:r>
        <w:rPr>
          <w:rFonts w:ascii="Cambria" w:hAnsi="Cambria"/>
          <w:sz w:val="20"/>
          <w:szCs w:val="20"/>
        </w:rPr>
        <w:t xml:space="preserve">García, Fernanda (21 de julio de 2019). </w:t>
      </w:r>
      <w:r w:rsidRPr="009A2304">
        <w:rPr>
          <w:rFonts w:ascii="Cambria" w:hAnsi="Cambria"/>
          <w:i/>
          <w:iCs/>
          <w:sz w:val="20"/>
          <w:szCs w:val="20"/>
        </w:rPr>
        <w:t>Sin la participación del mundo privado, el cambio climático no tiene solución</w:t>
      </w:r>
      <w:r>
        <w:rPr>
          <w:rFonts w:ascii="Cambria" w:hAnsi="Cambria"/>
          <w:sz w:val="20"/>
          <w:szCs w:val="20"/>
        </w:rPr>
        <w:t>.</w:t>
      </w:r>
    </w:p>
    <w:p w14:paraId="67A54DE6" w14:textId="0A9FC6AA" w:rsidR="003C5466" w:rsidRDefault="003C5466" w:rsidP="003C5466">
      <w:pPr>
        <w:spacing w:after="0"/>
        <w:jc w:val="both"/>
        <w:rPr>
          <w:rFonts w:ascii="Cambria" w:hAnsi="Cambria"/>
          <w:sz w:val="20"/>
          <w:szCs w:val="20"/>
        </w:rPr>
      </w:pPr>
      <w:r>
        <w:rPr>
          <w:rFonts w:ascii="Cambria" w:hAnsi="Cambria"/>
          <w:sz w:val="20"/>
          <w:szCs w:val="20"/>
        </w:rPr>
        <w:t>Fuente 3:</w:t>
      </w:r>
    </w:p>
    <w:p w14:paraId="336DBD64" w14:textId="6420A4C1" w:rsidR="003C5466" w:rsidRPr="003C5466" w:rsidRDefault="003C5466" w:rsidP="003C5466">
      <w:pPr>
        <w:spacing w:after="0"/>
        <w:jc w:val="both"/>
        <w:rPr>
          <w:rFonts w:ascii="Cambria" w:hAnsi="Cambria"/>
          <w:sz w:val="20"/>
          <w:szCs w:val="20"/>
        </w:rPr>
      </w:pPr>
      <w:r>
        <w:rPr>
          <w:rFonts w:ascii="Cambria" w:hAnsi="Cambria"/>
          <w:sz w:val="20"/>
          <w:szCs w:val="20"/>
        </w:rPr>
        <w:t>“</w:t>
      </w:r>
      <w:r w:rsidRPr="003C5466">
        <w:rPr>
          <w:rFonts w:ascii="Cambria" w:hAnsi="Cambria"/>
          <w:sz w:val="20"/>
          <w:szCs w:val="20"/>
        </w:rPr>
        <w:t>Cientos de miles de litros de agua para enfriar sus servidores necesitará Google –una de las cinco firmas más rentables de Estados Unidos, con utilidades por US$34 billones en 2019 (</w:t>
      </w:r>
      <w:proofErr w:type="spellStart"/>
      <w:r w:rsidRPr="003C5466">
        <w:rPr>
          <w:rFonts w:ascii="Cambria" w:hAnsi="Cambria"/>
          <w:sz w:val="20"/>
          <w:szCs w:val="20"/>
        </w:rPr>
        <w:t>Fortune</w:t>
      </w:r>
      <w:proofErr w:type="spellEnd"/>
      <w:r w:rsidRPr="003C5466">
        <w:rPr>
          <w:rFonts w:ascii="Cambria" w:hAnsi="Cambria"/>
          <w:sz w:val="20"/>
          <w:szCs w:val="20"/>
        </w:rPr>
        <w:t>)–, para el que será su nuevo data center de 79.216 m2 a un costado del mall Plaza Oeste en la comuna de Cerrillos (Región Metropolitana).</w:t>
      </w:r>
    </w:p>
    <w:p w14:paraId="7CDA7AFB" w14:textId="5CF9B2A2" w:rsidR="003C5466" w:rsidRPr="003C5466" w:rsidRDefault="003C5466" w:rsidP="003C5466">
      <w:pPr>
        <w:spacing w:after="0"/>
        <w:jc w:val="both"/>
        <w:rPr>
          <w:rFonts w:ascii="Cambria" w:hAnsi="Cambria"/>
          <w:sz w:val="20"/>
          <w:szCs w:val="20"/>
        </w:rPr>
      </w:pPr>
      <w:r w:rsidRPr="003C5466">
        <w:rPr>
          <w:rFonts w:ascii="Cambria" w:hAnsi="Cambria"/>
          <w:sz w:val="20"/>
          <w:szCs w:val="20"/>
        </w:rPr>
        <w:t>El proyecto fue aprobado el 25 de febrero pasado por la autoridad ambiental. Pero hay un problema y no es cualquiera. En medio de la extendida sequía que experimenta el país y del fantasma del racionamiento que se cierne sobre la Región Metropolitana, Google extraerá 169 litros de agua por segundo desde un acuífero sobre el cual pesa desde 2005 un decreto de restricción y, desde el 1 de febrero de este año, otro de prohibición para nuevas extracciones de agua subterránea.</w:t>
      </w:r>
    </w:p>
    <w:p w14:paraId="2B0E89C7" w14:textId="4184F0D2" w:rsidR="003C5466" w:rsidRDefault="003C5466" w:rsidP="003C5466">
      <w:pPr>
        <w:spacing w:after="0"/>
        <w:jc w:val="both"/>
        <w:rPr>
          <w:rFonts w:ascii="Cambria" w:hAnsi="Cambria"/>
          <w:sz w:val="20"/>
          <w:szCs w:val="20"/>
        </w:rPr>
      </w:pPr>
      <w:r w:rsidRPr="003C5466">
        <w:rPr>
          <w:rFonts w:ascii="Cambria" w:hAnsi="Cambria"/>
          <w:sz w:val="20"/>
          <w:szCs w:val="20"/>
        </w:rPr>
        <w:t>El sector acuífero Santiago Central –ubicado en el acuífero Maipo– es una reserva con estrés hídrico desde hace varios años, lo que arriesga su sustentabilidad a futuro. Desde ese acuífero, la filial en Chile de la compañía de Larry Page y Sergey Brin extraerá la enorme cantidad de agua que requiere para hacer funcionar las torres del sistema de enfriamiento de su nuevo centro de operaciones, el segundo que instala en Chile y en todo el hemisferio sur. Las torres funcionarán de manera continua las 24 horas del día, durante todo el año</w:t>
      </w:r>
      <w:r>
        <w:rPr>
          <w:rFonts w:ascii="Cambria" w:hAnsi="Cambria"/>
          <w:sz w:val="20"/>
          <w:szCs w:val="20"/>
        </w:rPr>
        <w:t>”</w:t>
      </w:r>
      <w:r w:rsidRPr="003C5466">
        <w:rPr>
          <w:rFonts w:ascii="Cambria" w:hAnsi="Cambria"/>
          <w:sz w:val="20"/>
          <w:szCs w:val="20"/>
        </w:rPr>
        <w:t>.</w:t>
      </w:r>
    </w:p>
    <w:p w14:paraId="334A1049" w14:textId="16940C2F" w:rsidR="003C5466" w:rsidRDefault="003C5466" w:rsidP="003C5466">
      <w:pPr>
        <w:spacing w:after="0"/>
        <w:jc w:val="right"/>
        <w:rPr>
          <w:rFonts w:ascii="Cambria" w:hAnsi="Cambria"/>
          <w:sz w:val="20"/>
          <w:szCs w:val="20"/>
        </w:rPr>
      </w:pPr>
      <w:r>
        <w:rPr>
          <w:rFonts w:ascii="Cambria" w:hAnsi="Cambria"/>
          <w:sz w:val="20"/>
          <w:szCs w:val="20"/>
        </w:rPr>
        <w:t xml:space="preserve">Arellano, Alberto (25 de mayo 2020). </w:t>
      </w:r>
      <w:r w:rsidRPr="003C5466">
        <w:rPr>
          <w:rFonts w:ascii="Cambria" w:hAnsi="Cambria"/>
          <w:i/>
          <w:iCs/>
          <w:sz w:val="20"/>
          <w:szCs w:val="20"/>
        </w:rPr>
        <w:t>Las zonas oscuras de la evaluación ambiental que autorizó a “ciegas” el megaproyecto de Google en Cerrillos</w:t>
      </w:r>
      <w:r>
        <w:rPr>
          <w:rFonts w:ascii="Cambria" w:hAnsi="Cambria"/>
          <w:sz w:val="20"/>
          <w:szCs w:val="20"/>
        </w:rPr>
        <w:t>.</w:t>
      </w:r>
    </w:p>
    <w:p w14:paraId="50DC22ED" w14:textId="77777777" w:rsidR="00A970F6" w:rsidRDefault="00A970F6"/>
    <w:sectPr w:rsidR="00A970F6" w:rsidSect="00494D6A">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3DF74" w14:textId="77777777" w:rsidR="0039118E" w:rsidRDefault="0039118E" w:rsidP="003C5466">
      <w:pPr>
        <w:spacing w:after="0" w:line="240" w:lineRule="auto"/>
      </w:pPr>
      <w:r>
        <w:separator/>
      </w:r>
    </w:p>
  </w:endnote>
  <w:endnote w:type="continuationSeparator" w:id="0">
    <w:p w14:paraId="758EFB40" w14:textId="77777777" w:rsidR="0039118E" w:rsidRDefault="0039118E" w:rsidP="003C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A5C81" w14:textId="77777777" w:rsidR="0039118E" w:rsidRDefault="0039118E" w:rsidP="003C5466">
      <w:pPr>
        <w:spacing w:after="0" w:line="240" w:lineRule="auto"/>
      </w:pPr>
      <w:r>
        <w:separator/>
      </w:r>
    </w:p>
  </w:footnote>
  <w:footnote w:type="continuationSeparator" w:id="0">
    <w:p w14:paraId="3D2D9288" w14:textId="77777777" w:rsidR="0039118E" w:rsidRDefault="0039118E" w:rsidP="003C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D4F5" w14:textId="69CEAD4E" w:rsidR="003C5466" w:rsidRDefault="003C5466">
    <w:pPr>
      <w:pStyle w:val="Encabezado"/>
    </w:pPr>
    <w:r>
      <w:rPr>
        <w:noProof/>
      </w:rPr>
      <mc:AlternateContent>
        <mc:Choice Requires="wps">
          <w:drawing>
            <wp:anchor distT="0" distB="0" distL="114300" distR="114300" simplePos="0" relativeHeight="251661312" behindDoc="0" locked="0" layoutInCell="1" allowOverlap="1" wp14:anchorId="38DB7A7A" wp14:editId="52A4E93C">
              <wp:simplePos x="0" y="0"/>
              <wp:positionH relativeFrom="column">
                <wp:posOffset>4591050</wp:posOffset>
              </wp:positionH>
              <wp:positionV relativeFrom="paragraph">
                <wp:posOffset>-48260</wp:posOffset>
              </wp:positionV>
              <wp:extent cx="1905000" cy="476885"/>
              <wp:effectExtent l="0" t="0" r="0" b="0"/>
              <wp:wrapNone/>
              <wp:docPr id="85660298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75F739AF" w14:textId="77777777" w:rsidR="003C5466" w:rsidRPr="00732B2B" w:rsidRDefault="003C5466" w:rsidP="003C546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86CDB86" w14:textId="77777777" w:rsidR="003C5466" w:rsidRPr="00732B2B" w:rsidRDefault="003C5466" w:rsidP="003C546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32E5B59" w14:textId="77777777" w:rsidR="003C5466" w:rsidRPr="00732B2B" w:rsidRDefault="003C5466" w:rsidP="003C546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8DB7A7A" id="_x0000_t202" coordsize="21600,21600" o:spt="202" path="m,l,21600r21600,l21600,xe">
              <v:stroke joinstyle="miter"/>
              <v:path gradientshapeok="t" o:connecttype="rect"/>
            </v:shapetype>
            <v:shape id="Cuadro de texto 1" o:spid="_x0000_s1026" type="#_x0000_t202" style="position:absolute;margin-left:361.5pt;margin-top:-3.8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" filled="f" stroked="f">
              <v:textbox style="mso-fit-shape-to-text:t">
                <w:txbxContent>
                  <w:p w14:paraId="75F739AF" w14:textId="77777777" w:rsidR="003C5466" w:rsidRPr="00732B2B" w:rsidRDefault="003C5466" w:rsidP="003C546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86CDB86" w14:textId="77777777" w:rsidR="003C5466" w:rsidRPr="00732B2B" w:rsidRDefault="003C5466" w:rsidP="003C546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32E5B59" w14:textId="77777777" w:rsidR="003C5466" w:rsidRPr="00732B2B" w:rsidRDefault="003C5466" w:rsidP="003C546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D658E51" wp14:editId="2B202934">
              <wp:simplePos x="0" y="0"/>
              <wp:positionH relativeFrom="column">
                <wp:posOffset>-609600</wp:posOffset>
              </wp:positionH>
              <wp:positionV relativeFrom="paragraph">
                <wp:posOffset>-229235</wp:posOffset>
              </wp:positionV>
              <wp:extent cx="2040890" cy="676275"/>
              <wp:effectExtent l="0" t="0" r="0" b="0"/>
              <wp:wrapNone/>
              <wp:docPr id="140246656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52D973A" w14:textId="77777777" w:rsidR="003C5466" w:rsidRDefault="003C5466" w:rsidP="003C546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10F6709" w14:textId="77777777" w:rsidR="003C5466" w:rsidRDefault="003C5466" w:rsidP="003C546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6F08B60" w14:textId="77777777" w:rsidR="003C5466" w:rsidRDefault="003C5466" w:rsidP="003C546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F9BF432" wp14:editId="3CF3DF7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658E51" id="Cuadro de texto 3" o:spid="_x0000_s1027" type="#_x0000_t202" style="position:absolute;margin-left:-48pt;margin-top:-18.0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" filled="f" stroked="f">
              <v:textbox inset="0,0,0,0">
                <w:txbxContent>
                  <w:p w14:paraId="652D973A" w14:textId="77777777" w:rsidR="003C5466" w:rsidRDefault="003C5466" w:rsidP="003C546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10F6709" w14:textId="77777777" w:rsidR="003C5466" w:rsidRDefault="003C5466" w:rsidP="003C546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66F08B60" w14:textId="77777777" w:rsidR="003C5466" w:rsidRDefault="003C5466" w:rsidP="003C546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F9BF432" wp14:editId="3CF3DF7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36639"/>
    <w:multiLevelType w:val="hybridMultilevel"/>
    <w:tmpl w:val="AD7278A0"/>
    <w:lvl w:ilvl="0" w:tplc="DE68FFA2">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EF97019"/>
    <w:multiLevelType w:val="hybridMultilevel"/>
    <w:tmpl w:val="167CF50E"/>
    <w:lvl w:ilvl="0" w:tplc="9E802E5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251012524">
    <w:abstractNumId w:val="0"/>
  </w:num>
  <w:num w:numId="2" w16cid:durableId="2005815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6A"/>
    <w:rsid w:val="0025747D"/>
    <w:rsid w:val="00265C8A"/>
    <w:rsid w:val="0039118E"/>
    <w:rsid w:val="003C5466"/>
    <w:rsid w:val="00494D6A"/>
    <w:rsid w:val="004A4D51"/>
    <w:rsid w:val="004B6D70"/>
    <w:rsid w:val="005206A2"/>
    <w:rsid w:val="007328DD"/>
    <w:rsid w:val="009A2304"/>
    <w:rsid w:val="009F66AA"/>
    <w:rsid w:val="009F6EC2"/>
    <w:rsid w:val="00A970F6"/>
    <w:rsid w:val="00C7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E3AE2"/>
  <w15:chartTrackingRefBased/>
  <w15:docId w15:val="{D1D7752A-B14D-4084-A87E-AB13C4BD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494D6A"/>
    <w:rPr>
      <w:kern w:val="0"/>
      <w:lang w:val="es-CL"/>
    </w:rPr>
  </w:style>
  <w:style w:type="paragraph" w:styleId="Ttulo1">
    <w:name w:val="heading 1"/>
    <w:basedOn w:val="Normal"/>
    <w:next w:val="Normal"/>
    <w:link w:val="Ttulo1Car"/>
    <w:uiPriority w:val="9"/>
    <w:qFormat/>
    <w:rsid w:val="00494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4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4D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4D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4D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4D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4D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4D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4D6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4D6A"/>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494D6A"/>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494D6A"/>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494D6A"/>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494D6A"/>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494D6A"/>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494D6A"/>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494D6A"/>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494D6A"/>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494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4D6A"/>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494D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4D6A"/>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494D6A"/>
    <w:pPr>
      <w:spacing w:before="160"/>
      <w:jc w:val="center"/>
    </w:pPr>
    <w:rPr>
      <w:i/>
      <w:iCs/>
      <w:color w:val="404040" w:themeColor="text1" w:themeTint="BF"/>
    </w:rPr>
  </w:style>
  <w:style w:type="character" w:customStyle="1" w:styleId="CitaCar">
    <w:name w:val="Cita Car"/>
    <w:basedOn w:val="Fuentedeprrafopredeter"/>
    <w:link w:val="Cita"/>
    <w:uiPriority w:val="29"/>
    <w:rsid w:val="00494D6A"/>
    <w:rPr>
      <w:rFonts w:ascii="Cambria" w:hAnsi="Cambria"/>
      <w:i/>
      <w:iCs/>
      <w:color w:val="404040" w:themeColor="text1" w:themeTint="BF"/>
      <w:kern w:val="0"/>
      <w:lang w:val="es-CL"/>
    </w:rPr>
  </w:style>
  <w:style w:type="paragraph" w:styleId="Prrafodelista">
    <w:name w:val="List Paragraph"/>
    <w:basedOn w:val="Normal"/>
    <w:uiPriority w:val="34"/>
    <w:qFormat/>
    <w:rsid w:val="00494D6A"/>
    <w:pPr>
      <w:ind w:left="720"/>
      <w:contextualSpacing/>
    </w:pPr>
  </w:style>
  <w:style w:type="character" w:styleId="nfasisintenso">
    <w:name w:val="Intense Emphasis"/>
    <w:basedOn w:val="Fuentedeprrafopredeter"/>
    <w:uiPriority w:val="21"/>
    <w:qFormat/>
    <w:rsid w:val="00494D6A"/>
    <w:rPr>
      <w:i/>
      <w:iCs/>
      <w:color w:val="0F4761" w:themeColor="accent1" w:themeShade="BF"/>
    </w:rPr>
  </w:style>
  <w:style w:type="paragraph" w:styleId="Citadestacada">
    <w:name w:val="Intense Quote"/>
    <w:basedOn w:val="Normal"/>
    <w:next w:val="Normal"/>
    <w:link w:val="CitadestacadaCar"/>
    <w:uiPriority w:val="30"/>
    <w:qFormat/>
    <w:rsid w:val="00494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4D6A"/>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494D6A"/>
    <w:rPr>
      <w:b/>
      <w:bCs/>
      <w:smallCaps/>
      <w:color w:val="0F4761" w:themeColor="accent1" w:themeShade="BF"/>
      <w:spacing w:val="5"/>
    </w:rPr>
  </w:style>
  <w:style w:type="table" w:styleId="Tablaconcuadrcula">
    <w:name w:val="Table Grid"/>
    <w:basedOn w:val="Tablanormal"/>
    <w:uiPriority w:val="39"/>
    <w:rsid w:val="00494D6A"/>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C5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5466"/>
    <w:rPr>
      <w:kern w:val="0"/>
      <w:lang w:val="es-CL"/>
    </w:rPr>
  </w:style>
  <w:style w:type="paragraph" w:styleId="Piedepgina">
    <w:name w:val="footer"/>
    <w:basedOn w:val="Normal"/>
    <w:link w:val="PiedepginaCar"/>
    <w:uiPriority w:val="99"/>
    <w:unhideWhenUsed/>
    <w:rsid w:val="003C5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5466"/>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823140">
      <w:bodyDiv w:val="1"/>
      <w:marLeft w:val="0"/>
      <w:marRight w:val="0"/>
      <w:marTop w:val="0"/>
      <w:marBottom w:val="0"/>
      <w:divBdr>
        <w:top w:val="none" w:sz="0" w:space="0" w:color="auto"/>
        <w:left w:val="none" w:sz="0" w:space="0" w:color="auto"/>
        <w:bottom w:val="none" w:sz="0" w:space="0" w:color="auto"/>
        <w:right w:val="none" w:sz="0" w:space="0" w:color="auto"/>
      </w:divBdr>
    </w:div>
    <w:div w:id="11014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2024-10-21T17:44:00Z</cp:lastPrinted>
  <dcterms:created xsi:type="dcterms:W3CDTF">2024-10-21T17:44:00Z</dcterms:created>
  <dcterms:modified xsi:type="dcterms:W3CDTF">2024-10-21T17:44:00Z</dcterms:modified>
</cp:coreProperties>
</file>