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FBFD" w14:textId="5A812082" w:rsidR="00A47421" w:rsidRDefault="00A47421" w:rsidP="00A47421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39</w:t>
      </w:r>
    </w:p>
    <w:p w14:paraId="4A69E0B1" w14:textId="0F7E8E2C" w:rsidR="00A47421" w:rsidRPr="00BD5D09" w:rsidRDefault="00A47421" w:rsidP="00A47421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¿CUÁLES FUERON LAS CAUSAS DE LA GUERRA DEL PACÍFICO?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A47421" w:rsidRPr="00BD5D09" w14:paraId="094D787D" w14:textId="77777777" w:rsidTr="00B0665D">
        <w:tc>
          <w:tcPr>
            <w:tcW w:w="1696" w:type="dxa"/>
          </w:tcPr>
          <w:p w14:paraId="5ADDC097" w14:textId="77777777" w:rsidR="00A47421" w:rsidRPr="00BD5D09" w:rsidRDefault="00A47421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083235FA" w14:textId="77777777" w:rsidR="00A47421" w:rsidRPr="00BD5D09" w:rsidRDefault="00A47421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47421" w:rsidRPr="00BD5D09" w14:paraId="449ED7D9" w14:textId="77777777" w:rsidTr="00B0665D">
        <w:tc>
          <w:tcPr>
            <w:tcW w:w="1696" w:type="dxa"/>
          </w:tcPr>
          <w:p w14:paraId="7C13FD84" w14:textId="77777777" w:rsidR="00A47421" w:rsidRPr="00BD5D09" w:rsidRDefault="00A47421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25F1B44E" w14:textId="52C368BF" w:rsidR="00A47421" w:rsidRPr="00BD5D09" w:rsidRDefault="00A47421" w:rsidP="00B0665D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17-10-2024</w:t>
            </w:r>
          </w:p>
        </w:tc>
      </w:tr>
    </w:tbl>
    <w:p w14:paraId="1CCB6C90" w14:textId="266FCF7F" w:rsidR="00A47421" w:rsidRPr="00A47421" w:rsidRDefault="00A47421" w:rsidP="00A47421">
      <w:pPr>
        <w:spacing w:before="240" w:after="0"/>
        <w:jc w:val="both"/>
        <w:rPr>
          <w:rFonts w:ascii="Cambria" w:hAnsi="Cambria"/>
          <w:b/>
          <w:bCs/>
        </w:rPr>
      </w:pPr>
      <w:r w:rsidRPr="00A47421">
        <w:rPr>
          <w:rFonts w:ascii="Cambria" w:hAnsi="Cambria"/>
          <w:b/>
          <w:bCs/>
        </w:rPr>
        <w:t>Objetivo: Explicar las causas de la Guerra del Pacífico a través de fuentes para participar asumiendo posturas razonadas</w:t>
      </w:r>
    </w:p>
    <w:p w14:paraId="431083CA" w14:textId="77777777" w:rsidR="00A47421" w:rsidRPr="00A47421" w:rsidRDefault="00A47421" w:rsidP="00A47421">
      <w:pPr>
        <w:spacing w:after="0"/>
        <w:jc w:val="both"/>
        <w:rPr>
          <w:rFonts w:ascii="Cambria" w:hAnsi="Cambria"/>
          <w:b/>
          <w:bCs/>
        </w:rPr>
      </w:pPr>
      <w:r w:rsidRPr="00B52298">
        <w:rPr>
          <w:rFonts w:ascii="Cambria" w:hAnsi="Cambria"/>
          <w:b/>
          <w:bCs/>
          <w:sz w:val="20"/>
          <w:szCs w:val="20"/>
        </w:rPr>
        <w:t>Instrucciones:</w:t>
      </w:r>
    </w:p>
    <w:p w14:paraId="6B9CAE0D" w14:textId="77777777" w:rsidR="00A47421" w:rsidRPr="00A47421" w:rsidRDefault="00A47421" w:rsidP="00A47421">
      <w:pPr>
        <w:pStyle w:val="Prrafodelista"/>
        <w:numPr>
          <w:ilvl w:val="0"/>
          <w:numId w:val="1"/>
        </w:numPr>
        <w:spacing w:after="0"/>
        <w:jc w:val="both"/>
      </w:pPr>
      <w:r w:rsidRPr="00732CFA">
        <w:rPr>
          <w:rFonts w:ascii="Cambria" w:hAnsi="Cambria"/>
        </w:rPr>
        <w:t xml:space="preserve">En </w:t>
      </w:r>
      <w:r>
        <w:rPr>
          <w:rFonts w:ascii="Cambria" w:hAnsi="Cambria"/>
        </w:rPr>
        <w:t>parejas lean las fuentes y realicen las actividades</w:t>
      </w:r>
    </w:p>
    <w:p w14:paraId="5EED67EA" w14:textId="290C6268" w:rsidR="00A47421" w:rsidRPr="0047225D" w:rsidRDefault="00A47421" w:rsidP="00A47421">
      <w:pPr>
        <w:pStyle w:val="Prrafodelista"/>
        <w:numPr>
          <w:ilvl w:val="0"/>
          <w:numId w:val="2"/>
        </w:numPr>
        <w:spacing w:after="0"/>
        <w:jc w:val="both"/>
      </w:pPr>
      <w:r>
        <w:rPr>
          <w:rFonts w:ascii="Cambria" w:hAnsi="Cambria"/>
        </w:rPr>
        <w:t>¿Qué causas de la Guerra del Pacífico presenta cada fuente?</w:t>
      </w:r>
    </w:p>
    <w:p w14:paraId="567AE8A8" w14:textId="6A030C72" w:rsidR="0047225D" w:rsidRPr="0047225D" w:rsidRDefault="0047225D" w:rsidP="0047225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47225D">
        <w:rPr>
          <w:rFonts w:ascii="Cambria" w:hAnsi="Cambria"/>
        </w:rPr>
        <w:t>¿Cuál es el papel que se asigna a la Compañía de Salitres y Ferrocarril de Antofagasta en los tres documentos?</w:t>
      </w:r>
    </w:p>
    <w:p w14:paraId="287EC928" w14:textId="36772876" w:rsidR="0047225D" w:rsidRPr="0047225D" w:rsidRDefault="0047225D" w:rsidP="0047225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47225D">
        <w:rPr>
          <w:rFonts w:ascii="Cambria" w:hAnsi="Cambria"/>
        </w:rPr>
        <w:t xml:space="preserve">Señala las principales </w:t>
      </w:r>
      <w:r>
        <w:rPr>
          <w:rFonts w:ascii="Cambria" w:hAnsi="Cambria"/>
        </w:rPr>
        <w:t xml:space="preserve">similitudes y </w:t>
      </w:r>
      <w:r w:rsidRPr="0047225D">
        <w:rPr>
          <w:rFonts w:ascii="Cambria" w:hAnsi="Cambria"/>
        </w:rPr>
        <w:t>diferencias entre las visiones de los distintos autores sobre el inicio del conflicto entre Bolivia, Perú y Chile.</w:t>
      </w:r>
    </w:p>
    <w:p w14:paraId="16D7FC69" w14:textId="4420E2A3" w:rsidR="0047225D" w:rsidRPr="0047225D" w:rsidRDefault="0047225D" w:rsidP="0047225D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47225D">
        <w:rPr>
          <w:rFonts w:ascii="Cambria" w:hAnsi="Cambria"/>
        </w:rPr>
        <w:t>A tu juicio y de acuerdo con las fuentes, ¿qué factores fueron decisivos en el inicio de la guerra?</w:t>
      </w:r>
    </w:p>
    <w:p w14:paraId="5A5C7CEA" w14:textId="0DEE4C0D" w:rsid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1:</w:t>
      </w:r>
    </w:p>
    <w:p w14:paraId="738CBADA" w14:textId="6B3EB117" w:rsidR="00A47421" w:rsidRP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A47421">
        <w:rPr>
          <w:rFonts w:ascii="Cambria" w:hAnsi="Cambria"/>
          <w:sz w:val="20"/>
          <w:szCs w:val="20"/>
        </w:rPr>
        <w:t>El Perú (...) trató de establecer un monopolio estatal en la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industria salitrera de Tarapacá. Para ese efecto expropió las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oficinas y depósitos del mineral, y como no tenía dinero para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pagarlos, entregó a los propietarios unos “certificados salitreros”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equivalentes al valor de la propiedad, que deberían ser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pagados más tarde por el Estado. Sin embargo, la explotación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del salitre en territorio boliviano hacia ilusorio el monopolio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peruano, y por esta razón el presidente Manuel Pardo procuró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llegar a un acuerdo con el gobierno de La Paz, el cual, 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su vez, estaba interesado en celebrar una alianza con el Perú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para enfrentar a Chile. El gobierno de Lima instaba al gobierno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boliviano a que desahuciase el Tratado de 1866 y recuperase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su completa soberanía sobre los territorios conflictivos.</w:t>
      </w:r>
    </w:p>
    <w:p w14:paraId="50335272" w14:textId="70FD8201" w:rsidR="00A47421" w:rsidRP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 w:rsidRPr="00A47421">
        <w:rPr>
          <w:rFonts w:ascii="Cambria" w:hAnsi="Cambria"/>
          <w:sz w:val="20"/>
          <w:szCs w:val="20"/>
        </w:rPr>
        <w:t>Este fue el origen del Tratado Secreto de 1873, mediante el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cual Perú y Bolivia se comprometieron a apoyarse mutuamente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en caso de guerra (...) Cinco años después de firmado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el Tratado Secreto, el dictador boliviano Hilarión Daza desconoció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el tratado de 1874, y ordenó cobrar a la Compañía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Salitres de Antofagasta un derecho de 10 centavos por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cada quintal de nitrato que exportase. Como la Compañía se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negó a pagar, se dispuso el remate de sus propiedades, que no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llegaría a efectuarse. (...). Daza y sus colaboradores se mantuvieron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intransigentes, contando con que la alianza secreta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con el Perú les daba seguridad en un eventual conflicto (...).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Alarmado el gobierno peruano con el giro que tomaban las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cosas, presionó a Bolivia para que enmendase su política y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aceptase un arbitraje. (...) La situación no tenía remedio. Los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tres países iniciaron acelerados preparativos militares, y el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gobierno de Chile no tuvo ya confianza en la actitud de las dos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naciones aliadas. Desde el punto de vista jurídico, el atropello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al Tratado de 1874 dejaba a Chile en libertad para hacer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valer sus antiguos derechos territoriales hasta el paralelo 23.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Algunos barcos de guerra fueron despachados a Antofagasta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y desembarcaron tropas que ocuparon la ciudad sin el menor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problema. La guerra comenzaba de hecho</w:t>
      </w:r>
      <w:r>
        <w:rPr>
          <w:rFonts w:ascii="Cambria" w:hAnsi="Cambria"/>
          <w:sz w:val="20"/>
          <w:szCs w:val="20"/>
        </w:rPr>
        <w:t>”</w:t>
      </w:r>
      <w:r w:rsidRPr="00A47421">
        <w:rPr>
          <w:rFonts w:ascii="Cambria" w:hAnsi="Cambria"/>
          <w:sz w:val="20"/>
          <w:szCs w:val="20"/>
        </w:rPr>
        <w:t>.</w:t>
      </w:r>
    </w:p>
    <w:p w14:paraId="2FA7C009" w14:textId="0951C91A" w:rsidR="00A47421" w:rsidRDefault="00A47421" w:rsidP="00A47421">
      <w:pPr>
        <w:spacing w:after="0"/>
        <w:jc w:val="right"/>
        <w:rPr>
          <w:rFonts w:ascii="Cambria" w:hAnsi="Cambria"/>
          <w:sz w:val="20"/>
          <w:szCs w:val="20"/>
        </w:rPr>
      </w:pPr>
      <w:r w:rsidRPr="00A47421">
        <w:rPr>
          <w:rFonts w:ascii="Cambria" w:hAnsi="Cambria"/>
          <w:sz w:val="20"/>
          <w:szCs w:val="20"/>
        </w:rPr>
        <w:t>Villalobos S</w:t>
      </w:r>
      <w:r>
        <w:rPr>
          <w:rFonts w:ascii="Cambria" w:hAnsi="Cambria"/>
          <w:sz w:val="20"/>
          <w:szCs w:val="20"/>
        </w:rPr>
        <w:t>ergio</w:t>
      </w:r>
      <w:r w:rsidRPr="00A47421">
        <w:rPr>
          <w:rFonts w:ascii="Cambria" w:hAnsi="Cambria"/>
          <w:sz w:val="20"/>
          <w:szCs w:val="20"/>
        </w:rPr>
        <w:t xml:space="preserve">. (2002). </w:t>
      </w:r>
      <w:r w:rsidRPr="00A47421">
        <w:rPr>
          <w:rFonts w:ascii="Cambria" w:hAnsi="Cambria"/>
          <w:i/>
          <w:iCs/>
          <w:sz w:val="20"/>
          <w:szCs w:val="20"/>
        </w:rPr>
        <w:t>Chile y su historia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12A4FE6A" w14:textId="7D7E60C1" w:rsid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2E162763" w14:textId="444E8B16" w:rsidR="00A47421" w:rsidRP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A47421">
        <w:rPr>
          <w:rFonts w:ascii="Cambria" w:hAnsi="Cambria"/>
          <w:sz w:val="20"/>
          <w:szCs w:val="20"/>
        </w:rPr>
        <w:t>¿</w:t>
      </w:r>
      <w:r>
        <w:rPr>
          <w:rFonts w:ascii="Cambria" w:hAnsi="Cambria"/>
          <w:sz w:val="20"/>
          <w:szCs w:val="20"/>
        </w:rPr>
        <w:t>Q</w:t>
      </w:r>
      <w:r w:rsidRPr="00A47421">
        <w:rPr>
          <w:rFonts w:ascii="Cambria" w:hAnsi="Cambria"/>
          <w:sz w:val="20"/>
          <w:szCs w:val="20"/>
        </w:rPr>
        <w:t>ué significó la guerra para los diferentes sectores de la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sociedad chilena?? Para los sectores populares ella constituyó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una oportunidad de objetivizar sus vínculos con la nación, especialmente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(…) a través de su incorporación a las fuerzas armadas,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entonces la expresión inmediata de la identidad nacional.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Para los sectores dirigentes, una prueba formidable para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el edificio social, político y económico levantado durante casi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cuarenta años de vida institucional organizada. Para todos, un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reencuentro con Chile en una coyuntura en la que su identidad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experimentó la tensión más formidable de su vida independiente.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No fue, sin embargo, lo mismo aquello experimentado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por esos sectores en los meses que precedieron a la iniciación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del conflicto. Lo que se jugó entonces, como también durante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el desarrollo de la guerra, fue la vigencia de la nación como fue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estructurada desde 1830. Y ello fue así pues, durante los cuatros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 xml:space="preserve">años </w:t>
      </w:r>
      <w:r w:rsidRPr="00A47421">
        <w:rPr>
          <w:rFonts w:ascii="Cambria" w:hAnsi="Cambria"/>
          <w:sz w:val="20"/>
          <w:szCs w:val="20"/>
        </w:rPr>
        <w:lastRenderedPageBreak/>
        <w:t>anteriores Chile vivió una crisis profunda que, hacia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fines de 1878, había puesto a su clase dirigente en una encrucijada;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en ella estaba amenazado su orden social, político y económico,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y su hegemonía. Fue a partir de la constatación de esa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realidad que en el seno de la clase dirigente chilena se generó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una disputa acerca de cómo enfrentar la crisis diplomática con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Bolivia que comenzó a agudizarse desde noviembre de 1878.</w:t>
      </w:r>
      <w:r>
        <w:rPr>
          <w:rFonts w:ascii="Cambria" w:hAnsi="Cambria"/>
          <w:sz w:val="20"/>
          <w:szCs w:val="20"/>
        </w:rPr>
        <w:t xml:space="preserve"> S</w:t>
      </w:r>
      <w:r w:rsidRPr="00A47421">
        <w:rPr>
          <w:rFonts w:ascii="Cambria" w:hAnsi="Cambria"/>
          <w:sz w:val="20"/>
          <w:szCs w:val="20"/>
        </w:rPr>
        <w:t>e destaca el quehacer de un segmento de la oligarquía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vinculada a los intereses salitreros y al mundo de la política,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que desarrolló una fuerte presión sobre el gobierno en los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meses previos al rompimiento de las hostilidades. Su acceso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 las esferas del poder era considerable, y fue empleado con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el fin de proteger sus intereses, que sentía amenazados, en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demandar que el gobierno del presidente Pinto adoptara una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actitud inflexible en las negociaciones con Bolivia, y en influir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en la política exterior del país. No menos importante fue el esfuerzo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propagandístico desarrollado por este sector, a través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del cual logró que la identificación coyuntural entre interés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sectorial privado e interés público adquiriese la dimensión de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problema o tarea nacional. Fue como fruto de esa campaña que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la incorporación de la totalidad de los territorios salitreros al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patrimonio nacional pasó a formar parte de la disputa, y, a la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larga, a convertirse en el factor decisivo durante el desarrollo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la guerra</w:t>
      </w:r>
      <w:r>
        <w:rPr>
          <w:rFonts w:ascii="Cambria" w:hAnsi="Cambria"/>
          <w:sz w:val="20"/>
          <w:szCs w:val="20"/>
        </w:rPr>
        <w:t>”</w:t>
      </w:r>
      <w:r w:rsidRPr="00A47421">
        <w:rPr>
          <w:rFonts w:ascii="Cambria" w:hAnsi="Cambria"/>
          <w:sz w:val="20"/>
          <w:szCs w:val="20"/>
        </w:rPr>
        <w:t>.</w:t>
      </w:r>
    </w:p>
    <w:p w14:paraId="28863BE4" w14:textId="12278354" w:rsidR="00A47421" w:rsidRDefault="00A47421" w:rsidP="00A47421">
      <w:pPr>
        <w:spacing w:after="0"/>
        <w:jc w:val="right"/>
        <w:rPr>
          <w:rFonts w:ascii="Cambria" w:hAnsi="Cambria"/>
          <w:sz w:val="20"/>
          <w:szCs w:val="20"/>
        </w:rPr>
      </w:pPr>
      <w:r w:rsidRPr="00A47421">
        <w:rPr>
          <w:rFonts w:ascii="Cambria" w:hAnsi="Cambria"/>
          <w:sz w:val="20"/>
          <w:szCs w:val="20"/>
        </w:rPr>
        <w:t>Ortega, L</w:t>
      </w:r>
      <w:r>
        <w:rPr>
          <w:rFonts w:ascii="Cambria" w:hAnsi="Cambria"/>
          <w:sz w:val="20"/>
          <w:szCs w:val="20"/>
        </w:rPr>
        <w:t>uis</w:t>
      </w:r>
      <w:r w:rsidRPr="00A47421">
        <w:rPr>
          <w:rFonts w:ascii="Cambria" w:hAnsi="Cambria"/>
          <w:sz w:val="20"/>
          <w:szCs w:val="20"/>
        </w:rPr>
        <w:t xml:space="preserve">. (1984). </w:t>
      </w:r>
      <w:r w:rsidRPr="00A47421">
        <w:rPr>
          <w:rFonts w:ascii="Cambria" w:hAnsi="Cambria"/>
          <w:i/>
          <w:iCs/>
          <w:sz w:val="20"/>
          <w:szCs w:val="20"/>
        </w:rPr>
        <w:t>Los empresarios, la política y los orígenes de la</w:t>
      </w:r>
      <w:r>
        <w:rPr>
          <w:rFonts w:ascii="Cambria" w:hAnsi="Cambria"/>
          <w:i/>
          <w:iCs/>
          <w:sz w:val="20"/>
          <w:szCs w:val="20"/>
        </w:rPr>
        <w:t xml:space="preserve"> </w:t>
      </w:r>
      <w:r w:rsidRPr="00A47421">
        <w:rPr>
          <w:rFonts w:ascii="Cambria" w:hAnsi="Cambria"/>
          <w:i/>
          <w:iCs/>
          <w:sz w:val="20"/>
          <w:szCs w:val="20"/>
        </w:rPr>
        <w:t>guerra del Pacífico</w:t>
      </w:r>
      <w:r>
        <w:rPr>
          <w:rFonts w:ascii="Cambria" w:hAnsi="Cambria"/>
          <w:sz w:val="20"/>
          <w:szCs w:val="20"/>
        </w:rPr>
        <w:t>.</w:t>
      </w:r>
    </w:p>
    <w:p w14:paraId="4FE91C62" w14:textId="77777777" w:rsid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5F21E545" w14:textId="0E2A8DF8" w:rsidR="00A47421" w:rsidRP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r w:rsidRPr="00A47421">
        <w:rPr>
          <w:rFonts w:ascii="Cambria" w:hAnsi="Cambria"/>
          <w:sz w:val="20"/>
          <w:szCs w:val="20"/>
        </w:rPr>
        <w:t>Bolivia había protestado contra la expansión chilena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desde un comienzo, de hecho había permitido que el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control de su territorio de Atacama fuera pasando, a partir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los años cincuenta, a manos de los capitalistas, obreros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y pobladores chilenos (...) La aceleración del ritmo de las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exportaciones guaneras provocaron aquel año la ocupación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militar chilena, así como el Tratado de 1866, que legitimaba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las pretensiones descabelladas de Santiago. (...) Las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autoridades bolivianas habían permitido la configuración de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esta situación insólita a causa de su necesidad de fondos y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la absoluta incapacidad de los capitalistas nacionales para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explotar estos desiertos, previamente vacíos. (...) Por otro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lado, los territorios marítimos quedaban lejos y parecían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ajenos a la política real de las ciudades altiplánicas, por lo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que los generales se sentían con mayor libertad para tratar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reformular concesiones o de renegociar impuestos.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Dentro de este contexto, en 1878 el gobierno boliviano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introdujo un impuesto mínimo sobre el salitre exportado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por la Nitrate and Railroad Co. of Antofagasta (empresa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capitales chileno-británicos). El gerente inglés, con el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pleno apoyo de los chilenos, se negó a pagar este impuesto</w:t>
      </w:r>
    </w:p>
    <w:p w14:paraId="6912F8C8" w14:textId="1421CD67" w:rsidR="00A47421" w:rsidRPr="00A47421" w:rsidRDefault="00A47421" w:rsidP="00A47421">
      <w:pPr>
        <w:spacing w:after="0"/>
        <w:jc w:val="both"/>
        <w:rPr>
          <w:rFonts w:ascii="Cambria" w:hAnsi="Cambria"/>
          <w:sz w:val="20"/>
          <w:szCs w:val="20"/>
        </w:rPr>
      </w:pPr>
      <w:r w:rsidRPr="00A47421">
        <w:rPr>
          <w:rFonts w:ascii="Cambria" w:hAnsi="Cambria"/>
          <w:sz w:val="20"/>
          <w:szCs w:val="20"/>
        </w:rPr>
        <w:t>‘injusto’ e “ilegal”. Cuando las autoridades bolivianas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trataron de apresar al gerente insubordinado, este se fugó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 Chile. Y cuando el gobierno anunció que se incautaría del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patrimonio de la Compañía para resarcirse del impuesto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adeudado, los chilenos llevaron a la práctica su plan larga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y cuidadosamente preparado. En febrero de1879 las tropas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chilenas desembarcaron en Antofagasta, con la excusa de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proteger a los residentes chilenos del lugar (...) Solo en abril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llegó la declaración formal de guerra, entrando Perú en la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contienda al lado de Bolivia; pero para entonces la poderosa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escuadra chilena se había apoderado de toda la provincia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marítima, incluido el puerto de Cobija. Así pues, en dos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meses Chile se había apoderado de todo el territorio costeño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boliviano. Pero la guerra del Pacífico apenas comenzaba,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pues los chilenos no se proponían apoderarse solo de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territorios bolivianos, sino que también de la mayor parte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de las regiones costeñas mineras peruanas. Tomando como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 xml:space="preserve">pretexto el llamado tratado </w:t>
      </w:r>
      <w:r>
        <w:rPr>
          <w:rFonts w:ascii="Cambria" w:hAnsi="Cambria"/>
          <w:sz w:val="20"/>
          <w:szCs w:val="20"/>
        </w:rPr>
        <w:t>‘</w:t>
      </w:r>
      <w:r w:rsidRPr="00A47421">
        <w:rPr>
          <w:rFonts w:ascii="Cambria" w:hAnsi="Cambria"/>
          <w:sz w:val="20"/>
          <w:szCs w:val="20"/>
        </w:rPr>
        <w:t>secreto de apoyo mutuo entre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Bolivia y Perú</w:t>
      </w:r>
      <w:r>
        <w:rPr>
          <w:rFonts w:ascii="Cambria" w:hAnsi="Cambria"/>
          <w:sz w:val="20"/>
          <w:szCs w:val="20"/>
        </w:rPr>
        <w:t>’</w:t>
      </w:r>
      <w:r w:rsidRPr="00A47421">
        <w:rPr>
          <w:rFonts w:ascii="Cambria" w:hAnsi="Cambria"/>
          <w:sz w:val="20"/>
          <w:szCs w:val="20"/>
        </w:rPr>
        <w:t xml:space="preserve"> en 1873, los chilenos se habían preparado</w:t>
      </w:r>
      <w:r>
        <w:rPr>
          <w:rFonts w:ascii="Cambria" w:hAnsi="Cambria"/>
          <w:sz w:val="20"/>
          <w:szCs w:val="20"/>
        </w:rPr>
        <w:t xml:space="preserve"> </w:t>
      </w:r>
      <w:r w:rsidRPr="00A47421">
        <w:rPr>
          <w:rFonts w:ascii="Cambria" w:hAnsi="Cambria"/>
          <w:sz w:val="20"/>
          <w:szCs w:val="20"/>
        </w:rPr>
        <w:t>para una larga guerra naval con Perú</w:t>
      </w:r>
      <w:r>
        <w:rPr>
          <w:rFonts w:ascii="Cambria" w:hAnsi="Cambria"/>
          <w:sz w:val="20"/>
          <w:szCs w:val="20"/>
        </w:rPr>
        <w:t>”</w:t>
      </w:r>
      <w:r w:rsidRPr="00A47421">
        <w:rPr>
          <w:rFonts w:ascii="Cambria" w:hAnsi="Cambria"/>
          <w:sz w:val="20"/>
          <w:szCs w:val="20"/>
        </w:rPr>
        <w:t>.</w:t>
      </w:r>
    </w:p>
    <w:p w14:paraId="599ED25E" w14:textId="522F2BF9" w:rsidR="00A47421" w:rsidRPr="00A47421" w:rsidRDefault="00A47421" w:rsidP="00A47421">
      <w:pPr>
        <w:spacing w:after="0"/>
        <w:jc w:val="right"/>
        <w:rPr>
          <w:rFonts w:ascii="Cambria" w:hAnsi="Cambria"/>
          <w:sz w:val="20"/>
          <w:szCs w:val="20"/>
        </w:rPr>
      </w:pPr>
      <w:r w:rsidRPr="00A47421">
        <w:rPr>
          <w:rFonts w:ascii="Cambria" w:hAnsi="Cambria"/>
          <w:sz w:val="20"/>
          <w:szCs w:val="20"/>
        </w:rPr>
        <w:t>Klein, H</w:t>
      </w:r>
      <w:r>
        <w:rPr>
          <w:rFonts w:ascii="Cambria" w:hAnsi="Cambria"/>
          <w:sz w:val="20"/>
          <w:szCs w:val="20"/>
        </w:rPr>
        <w:t>elbert</w:t>
      </w:r>
      <w:r w:rsidRPr="00A47421">
        <w:rPr>
          <w:rFonts w:ascii="Cambria" w:hAnsi="Cambria"/>
          <w:sz w:val="20"/>
          <w:szCs w:val="20"/>
        </w:rPr>
        <w:t xml:space="preserve">. (1982). </w:t>
      </w:r>
      <w:r w:rsidRPr="00A47421">
        <w:rPr>
          <w:rFonts w:ascii="Cambria" w:hAnsi="Cambria"/>
          <w:i/>
          <w:iCs/>
          <w:sz w:val="20"/>
          <w:szCs w:val="20"/>
        </w:rPr>
        <w:t>Historia general de Bolivia.</w:t>
      </w:r>
    </w:p>
    <w:p w14:paraId="1D5EBDBB" w14:textId="77777777" w:rsidR="00A970F6" w:rsidRDefault="00A970F6"/>
    <w:sectPr w:rsidR="00A97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74608" w14:textId="77777777" w:rsidR="00A76149" w:rsidRDefault="00A76149" w:rsidP="0047225D">
      <w:pPr>
        <w:spacing w:after="0" w:line="240" w:lineRule="auto"/>
      </w:pPr>
      <w:r>
        <w:separator/>
      </w:r>
    </w:p>
  </w:endnote>
  <w:endnote w:type="continuationSeparator" w:id="0">
    <w:p w14:paraId="42571F32" w14:textId="77777777" w:rsidR="00A76149" w:rsidRDefault="00A76149" w:rsidP="0047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FED0" w14:textId="77777777" w:rsidR="0047225D" w:rsidRDefault="004722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2092" w14:textId="77777777" w:rsidR="0047225D" w:rsidRDefault="004722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7D46" w14:textId="77777777" w:rsidR="0047225D" w:rsidRDefault="004722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EDBA7" w14:textId="77777777" w:rsidR="00A76149" w:rsidRDefault="00A76149" w:rsidP="0047225D">
      <w:pPr>
        <w:spacing w:after="0" w:line="240" w:lineRule="auto"/>
      </w:pPr>
      <w:r>
        <w:separator/>
      </w:r>
    </w:p>
  </w:footnote>
  <w:footnote w:type="continuationSeparator" w:id="0">
    <w:p w14:paraId="792325CB" w14:textId="77777777" w:rsidR="00A76149" w:rsidRDefault="00A76149" w:rsidP="0047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C017" w14:textId="77777777" w:rsidR="0047225D" w:rsidRDefault="004722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5867A" w14:textId="2DE617F7" w:rsidR="0047225D" w:rsidRDefault="004722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D011C4" wp14:editId="662B804E">
              <wp:simplePos x="0" y="0"/>
              <wp:positionH relativeFrom="column">
                <wp:posOffset>4459605</wp:posOffset>
              </wp:positionH>
              <wp:positionV relativeFrom="paragraph">
                <wp:posOffset>-165735</wp:posOffset>
              </wp:positionV>
              <wp:extent cx="1905000" cy="605790"/>
              <wp:effectExtent l="0" t="0" r="0" b="0"/>
              <wp:wrapNone/>
              <wp:docPr id="9931329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BDE4A" w14:textId="77777777" w:rsidR="0047225D" w:rsidRPr="00732B2B" w:rsidRDefault="0047225D" w:rsidP="0047225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1D9BBBBD" w14:textId="77777777" w:rsidR="0047225D" w:rsidRPr="00732B2B" w:rsidRDefault="0047225D" w:rsidP="0047225D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7A7E0910" w14:textId="77777777" w:rsidR="0047225D" w:rsidRPr="00732B2B" w:rsidRDefault="0047225D" w:rsidP="0047225D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011C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1.15pt;margin-top:-13.0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2JGNM94AAAALAQAADwAAAGRycy9kb3du&#10;cmV2LnhtbEyPTU/DMAyG70j8h8hI3LaknShQmk4TH9IOXBjl7jWmrWicqsnW7t+T7QJH249eP2+x&#10;nm0vjjT6zrGGZKlAENfOdNxoqD7fFg8gfEA22DsmDSfysC6vrwrMjZv4g4670IgYwj5HDW0IQy6l&#10;r1uy6JduII63bzdaDHEcG2lGnGK47WWqVCYtdhw/tDjQc0v1z+5gNYRgNsmperV++zW/v0ytqu+w&#10;0vr2Zt48gQg0hz8YzvpRHcrotHcHNl70Gu5VuoqohkWaJSDOhLqs9hqyxxXIspD/O5S/AAAA//8D&#10;AFBLAQItABQABgAIAAAAIQC2gziS/gAAAOEBAAATAAAAAAAAAAAAAAAAAAAAAABbQ29udGVudF9U&#10;eXBlc10ueG1sUEsBAi0AFAAGAAgAAAAhADj9If/WAAAAlAEAAAsAAAAAAAAAAAAAAAAALwEAAF9y&#10;ZWxzLy5yZWxzUEsBAi0AFAAGAAgAAAAhAC4CvpOCAQAA9wIAAA4AAAAAAAAAAAAAAAAALgIAAGRy&#10;cy9lMm9Eb2MueG1sUEsBAi0AFAAGAAgAAAAhANiRjTPeAAAACwEAAA8AAAAAAAAAAAAAAAAA3AMA&#10;AGRycy9kb3ducmV2LnhtbFBLBQYAAAAABAAEAPMAAADnBAAAAAA=&#10;" filled="f" stroked="f">
              <v:textbox style="mso-fit-shape-to-text:t">
                <w:txbxContent>
                  <w:p w14:paraId="744BDE4A" w14:textId="77777777" w:rsidR="0047225D" w:rsidRPr="00732B2B" w:rsidRDefault="0047225D" w:rsidP="0047225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1D9BBBBD" w14:textId="77777777" w:rsidR="0047225D" w:rsidRPr="00732B2B" w:rsidRDefault="0047225D" w:rsidP="0047225D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7A7E0910" w14:textId="77777777" w:rsidR="0047225D" w:rsidRPr="00732B2B" w:rsidRDefault="0047225D" w:rsidP="0047225D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1°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7B72D" wp14:editId="46CB8D09">
              <wp:simplePos x="0" y="0"/>
              <wp:positionH relativeFrom="column">
                <wp:posOffset>-344170</wp:posOffset>
              </wp:positionH>
              <wp:positionV relativeFrom="paragraph">
                <wp:posOffset>-226695</wp:posOffset>
              </wp:positionV>
              <wp:extent cx="2040890" cy="676275"/>
              <wp:effectExtent l="0" t="0" r="0" b="0"/>
              <wp:wrapNone/>
              <wp:docPr id="176169013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5C9C7" w14:textId="77777777" w:rsidR="0047225D" w:rsidRDefault="0047225D" w:rsidP="0047225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F3A99AD" w14:textId="77777777" w:rsidR="0047225D" w:rsidRDefault="0047225D" w:rsidP="0047225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36267F81" w14:textId="77777777" w:rsidR="0047225D" w:rsidRDefault="0047225D" w:rsidP="0047225D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B7011AB" wp14:editId="4562B0DA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7B72D" id="Cuadro de texto 1" o:spid="_x0000_s1027" type="#_x0000_t202" style="position:absolute;margin-left:-27.1pt;margin-top:-17.8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qS4Vd4AAAAAoBAAAPAAAAZHJzL2Rvd25yZXYueG1sTI89T8MwEIZ3JP6DdUhsrU2gSQlx&#10;qgrBhIRIw8DoxG5iNT6H2G3Dv+eYynYfj957rtjMbmAnMwXrUcLdUgAz2HptsZPwWb8u1sBCVKjV&#10;4NFI+DEBNuX1VaFy7c9YmdMudoxCMORKQh/jmHMe2t44FZZ+NEi7vZ+citROHdeTOlO4G3giRMqd&#10;skgXejWa5960h93RSdh+YfViv9+bj2pf2bp+FPiWHqS8vZm3T8CimeMFhj99UoeSnBp/RB3YIGGx&#10;ekgIpeJ+lQEjIkkzmjQSMrEGXhb8/wvlLwA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CqS4Vd4AAAAAoBAAAPAAAAAAAAAAAAAAAAADIEAABkcnMvZG93bnJldi54bWxQSwUGAAAAAAQA&#10;BADzAAAAPwUAAAAA&#10;" filled="f" stroked="f">
              <v:textbox inset="0,0,0,0">
                <w:txbxContent>
                  <w:p w14:paraId="2CA5C9C7" w14:textId="77777777" w:rsidR="0047225D" w:rsidRDefault="0047225D" w:rsidP="0047225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F3A99AD" w14:textId="77777777" w:rsidR="0047225D" w:rsidRDefault="0047225D" w:rsidP="0047225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36267F81" w14:textId="77777777" w:rsidR="0047225D" w:rsidRDefault="0047225D" w:rsidP="0047225D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B7011AB" wp14:editId="4562B0DA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6EDA5" w14:textId="77777777" w:rsidR="0047225D" w:rsidRDefault="004722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C12"/>
    <w:multiLevelType w:val="hybridMultilevel"/>
    <w:tmpl w:val="71868D40"/>
    <w:lvl w:ilvl="0" w:tplc="F67EFB82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26323">
    <w:abstractNumId w:val="1"/>
  </w:num>
  <w:num w:numId="2" w16cid:durableId="114566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1"/>
    <w:rsid w:val="000C4CB7"/>
    <w:rsid w:val="002C0BB9"/>
    <w:rsid w:val="0047225D"/>
    <w:rsid w:val="004B6D70"/>
    <w:rsid w:val="005206A2"/>
    <w:rsid w:val="007328DD"/>
    <w:rsid w:val="0085332D"/>
    <w:rsid w:val="00A0346A"/>
    <w:rsid w:val="00A47421"/>
    <w:rsid w:val="00A76149"/>
    <w:rsid w:val="00A970F6"/>
    <w:rsid w:val="00E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577C"/>
  <w15:chartTrackingRefBased/>
  <w15:docId w15:val="{3488B5FF-6BD5-49F8-902A-2997EE8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47421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47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4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4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421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421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421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421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421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421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421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47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421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4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4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421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474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4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421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4742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47421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72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25D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72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25D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2024-10-03T16:26:00Z</cp:lastPrinted>
  <dcterms:created xsi:type="dcterms:W3CDTF">2024-10-03T16:26:00Z</dcterms:created>
  <dcterms:modified xsi:type="dcterms:W3CDTF">2024-10-03T16:26:00Z</dcterms:modified>
</cp:coreProperties>
</file>