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B6EE" w14:textId="6513BF61" w:rsidR="00932E0F" w:rsidRPr="00D66D3C" w:rsidRDefault="00932E0F" w:rsidP="00932E0F">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43</w:t>
      </w:r>
    </w:p>
    <w:p w14:paraId="41367DA9" w14:textId="153AE068" w:rsidR="00932E0F" w:rsidRPr="00D66D3C" w:rsidRDefault="00932E0F" w:rsidP="00932E0F">
      <w:pPr>
        <w:jc w:val="center"/>
        <w:rPr>
          <w:rFonts w:ascii="Cambria" w:hAnsi="Cambria"/>
          <w:b/>
          <w:bCs/>
          <w:u w:val="single"/>
        </w:rPr>
      </w:pPr>
      <w:r w:rsidRPr="00D66D3C">
        <w:rPr>
          <w:rFonts w:ascii="Cambria" w:hAnsi="Cambria"/>
          <w:b/>
          <w:bCs/>
          <w:u w:val="single"/>
        </w:rPr>
        <w:t>¿</w:t>
      </w:r>
      <w:r>
        <w:rPr>
          <w:rFonts w:ascii="Cambria" w:hAnsi="Cambria"/>
          <w:b/>
          <w:bCs/>
          <w:u w:val="single"/>
        </w:rPr>
        <w:t>CÓMO FUE LA INDEPENDENCIA DE ESTADOS UNIDOS?</w:t>
      </w:r>
    </w:p>
    <w:tbl>
      <w:tblPr>
        <w:tblStyle w:val="Tablaconcuadrcula"/>
        <w:tblW w:w="0" w:type="auto"/>
        <w:tblLook w:val="04A0" w:firstRow="1" w:lastRow="0" w:firstColumn="1" w:lastColumn="0" w:noHBand="0" w:noVBand="1"/>
      </w:tblPr>
      <w:tblGrid>
        <w:gridCol w:w="2207"/>
        <w:gridCol w:w="2207"/>
        <w:gridCol w:w="2207"/>
        <w:gridCol w:w="2207"/>
      </w:tblGrid>
      <w:tr w:rsidR="00D85893" w:rsidRPr="007B3509" w14:paraId="64740851" w14:textId="77777777" w:rsidTr="00153C73">
        <w:tc>
          <w:tcPr>
            <w:tcW w:w="8828" w:type="dxa"/>
            <w:gridSpan w:val="4"/>
          </w:tcPr>
          <w:p w14:paraId="32AE515C" w14:textId="77777777" w:rsidR="00D85893" w:rsidRPr="007B3509" w:rsidRDefault="00D85893" w:rsidP="00153C73">
            <w:pPr>
              <w:jc w:val="both"/>
              <w:rPr>
                <w:rFonts w:ascii="Cambria" w:hAnsi="Cambria"/>
              </w:rPr>
            </w:pPr>
            <w:r w:rsidRPr="007B3509">
              <w:rPr>
                <w:rFonts w:ascii="Cambria" w:hAnsi="Cambria"/>
              </w:rPr>
              <w:t>Nombre</w:t>
            </w:r>
          </w:p>
        </w:tc>
      </w:tr>
      <w:tr w:rsidR="00D85893" w:rsidRPr="007B3509" w14:paraId="2EF282F3" w14:textId="77777777" w:rsidTr="00153C73">
        <w:tc>
          <w:tcPr>
            <w:tcW w:w="2207" w:type="dxa"/>
          </w:tcPr>
          <w:p w14:paraId="526FF9B8" w14:textId="77777777" w:rsidR="00D85893" w:rsidRPr="007B3509" w:rsidRDefault="00D85893" w:rsidP="00153C73">
            <w:pPr>
              <w:jc w:val="both"/>
              <w:rPr>
                <w:rFonts w:ascii="Cambria" w:hAnsi="Cambria"/>
              </w:rPr>
            </w:pPr>
            <w:r w:rsidRPr="007B3509">
              <w:rPr>
                <w:rFonts w:ascii="Cambria" w:hAnsi="Cambria"/>
              </w:rPr>
              <w:t>Puntaje total</w:t>
            </w:r>
          </w:p>
        </w:tc>
        <w:tc>
          <w:tcPr>
            <w:tcW w:w="2207" w:type="dxa"/>
          </w:tcPr>
          <w:p w14:paraId="2CCBF012" w14:textId="60F4FE8C" w:rsidR="00D85893" w:rsidRPr="007B3509" w:rsidRDefault="00CA5462" w:rsidP="00153C73">
            <w:pPr>
              <w:jc w:val="both"/>
              <w:rPr>
                <w:rFonts w:ascii="Cambria" w:hAnsi="Cambria"/>
              </w:rPr>
            </w:pPr>
            <w:r>
              <w:rPr>
                <w:rFonts w:ascii="Cambria" w:hAnsi="Cambria"/>
              </w:rPr>
              <w:t>24</w:t>
            </w:r>
            <w:r w:rsidR="00D85893">
              <w:rPr>
                <w:rFonts w:ascii="Cambria" w:hAnsi="Cambria"/>
              </w:rPr>
              <w:t xml:space="preserve"> pts.</w:t>
            </w:r>
          </w:p>
        </w:tc>
        <w:tc>
          <w:tcPr>
            <w:tcW w:w="2207" w:type="dxa"/>
          </w:tcPr>
          <w:p w14:paraId="26C5AF6B" w14:textId="77777777" w:rsidR="00D85893" w:rsidRPr="007B3509" w:rsidRDefault="00D85893" w:rsidP="00153C73">
            <w:pPr>
              <w:jc w:val="both"/>
              <w:rPr>
                <w:rFonts w:ascii="Cambria" w:hAnsi="Cambria"/>
              </w:rPr>
            </w:pPr>
            <w:r w:rsidRPr="007B3509">
              <w:rPr>
                <w:rFonts w:ascii="Cambria" w:hAnsi="Cambria"/>
              </w:rPr>
              <w:t>Fecha</w:t>
            </w:r>
          </w:p>
        </w:tc>
        <w:tc>
          <w:tcPr>
            <w:tcW w:w="2207" w:type="dxa"/>
          </w:tcPr>
          <w:p w14:paraId="08E75D4A" w14:textId="6EC737C6" w:rsidR="00D85893" w:rsidRPr="007B3509" w:rsidRDefault="00D85893" w:rsidP="00153C73">
            <w:pPr>
              <w:jc w:val="both"/>
              <w:rPr>
                <w:rFonts w:ascii="Cambria" w:hAnsi="Cambria"/>
              </w:rPr>
            </w:pPr>
            <w:r>
              <w:rPr>
                <w:rFonts w:ascii="Cambria" w:hAnsi="Cambria"/>
              </w:rPr>
              <w:t>15</w:t>
            </w:r>
            <w:r w:rsidRPr="007B3509">
              <w:rPr>
                <w:rFonts w:ascii="Cambria" w:hAnsi="Cambria"/>
              </w:rPr>
              <w:t>/</w:t>
            </w:r>
            <w:r>
              <w:rPr>
                <w:rFonts w:ascii="Cambria" w:hAnsi="Cambria"/>
              </w:rPr>
              <w:t>10</w:t>
            </w:r>
            <w:r w:rsidRPr="007B3509">
              <w:rPr>
                <w:rFonts w:ascii="Cambria" w:hAnsi="Cambria"/>
              </w:rPr>
              <w:t>/202</w:t>
            </w:r>
            <w:r>
              <w:rPr>
                <w:rFonts w:ascii="Cambria" w:hAnsi="Cambria"/>
              </w:rPr>
              <w:t>4</w:t>
            </w:r>
          </w:p>
        </w:tc>
      </w:tr>
      <w:tr w:rsidR="00D85893" w:rsidRPr="007B3509" w14:paraId="0D32B4AB" w14:textId="77777777" w:rsidTr="00153C73">
        <w:tc>
          <w:tcPr>
            <w:tcW w:w="2207" w:type="dxa"/>
          </w:tcPr>
          <w:p w14:paraId="28967E6B" w14:textId="77777777" w:rsidR="00D85893" w:rsidRPr="007B3509" w:rsidRDefault="00D85893" w:rsidP="00153C73">
            <w:pPr>
              <w:jc w:val="both"/>
              <w:rPr>
                <w:rFonts w:ascii="Cambria" w:hAnsi="Cambria"/>
              </w:rPr>
            </w:pPr>
            <w:r w:rsidRPr="007B3509">
              <w:rPr>
                <w:rFonts w:ascii="Cambria" w:hAnsi="Cambria"/>
              </w:rPr>
              <w:t>Puntaje obtenido</w:t>
            </w:r>
          </w:p>
        </w:tc>
        <w:tc>
          <w:tcPr>
            <w:tcW w:w="2207" w:type="dxa"/>
          </w:tcPr>
          <w:p w14:paraId="307C960E" w14:textId="77777777" w:rsidR="00D85893" w:rsidRPr="007B3509" w:rsidRDefault="00D85893" w:rsidP="00153C73">
            <w:pPr>
              <w:jc w:val="both"/>
              <w:rPr>
                <w:rFonts w:ascii="Cambria" w:hAnsi="Cambria"/>
              </w:rPr>
            </w:pPr>
          </w:p>
        </w:tc>
        <w:tc>
          <w:tcPr>
            <w:tcW w:w="2207" w:type="dxa"/>
          </w:tcPr>
          <w:p w14:paraId="36955FFE" w14:textId="77777777" w:rsidR="00D85893" w:rsidRPr="007B3509" w:rsidRDefault="00D85893" w:rsidP="00153C73">
            <w:pPr>
              <w:jc w:val="both"/>
              <w:rPr>
                <w:rFonts w:ascii="Cambria" w:hAnsi="Cambria"/>
              </w:rPr>
            </w:pPr>
            <w:r w:rsidRPr="007B3509">
              <w:rPr>
                <w:rFonts w:ascii="Cambria" w:hAnsi="Cambria"/>
              </w:rPr>
              <w:t>Calificación</w:t>
            </w:r>
          </w:p>
        </w:tc>
        <w:tc>
          <w:tcPr>
            <w:tcW w:w="2207" w:type="dxa"/>
          </w:tcPr>
          <w:p w14:paraId="1B906300" w14:textId="77777777" w:rsidR="00D85893" w:rsidRPr="007B3509" w:rsidRDefault="00D85893" w:rsidP="00153C73">
            <w:pPr>
              <w:jc w:val="both"/>
              <w:rPr>
                <w:rFonts w:ascii="Cambria" w:hAnsi="Cambria"/>
              </w:rPr>
            </w:pPr>
          </w:p>
        </w:tc>
      </w:tr>
    </w:tbl>
    <w:p w14:paraId="2A0FF154" w14:textId="66F990A6" w:rsidR="00932E0F" w:rsidRPr="001D3806" w:rsidRDefault="00932E0F" w:rsidP="00932E0F">
      <w:pPr>
        <w:jc w:val="both"/>
        <w:rPr>
          <w:rFonts w:ascii="Cambria" w:hAnsi="Cambria"/>
          <w:b/>
          <w:bCs/>
        </w:rPr>
      </w:pPr>
      <w:r w:rsidRPr="001D3806">
        <w:rPr>
          <w:rFonts w:ascii="Cambria" w:hAnsi="Cambria"/>
          <w:b/>
          <w:bCs/>
        </w:rPr>
        <w:t>Objetivo</w:t>
      </w:r>
      <w:r>
        <w:rPr>
          <w:rFonts w:ascii="Cambria" w:hAnsi="Cambria"/>
          <w:b/>
          <w:bCs/>
        </w:rPr>
        <w:t>:  Explicar la independencia de Estados Unidos a través de fuentes para realizar explicaciones basadas en evidencias</w:t>
      </w:r>
    </w:p>
    <w:p w14:paraId="40A9DBB7" w14:textId="77777777" w:rsidR="00932E0F" w:rsidRDefault="00932E0F" w:rsidP="00932E0F">
      <w:pPr>
        <w:spacing w:after="0"/>
        <w:jc w:val="both"/>
        <w:rPr>
          <w:rFonts w:ascii="Cambria" w:hAnsi="Cambria"/>
          <w:b/>
          <w:bCs/>
        </w:rPr>
      </w:pPr>
      <w:r w:rsidRPr="001D3806">
        <w:rPr>
          <w:rFonts w:ascii="Cambria" w:hAnsi="Cambria"/>
          <w:b/>
          <w:bCs/>
        </w:rPr>
        <w:t>Instrucciones:</w:t>
      </w:r>
    </w:p>
    <w:p w14:paraId="4F5EC34C" w14:textId="26248368" w:rsidR="00932E0F" w:rsidRPr="00016176" w:rsidRDefault="00932E0F" w:rsidP="00932E0F">
      <w:pPr>
        <w:pStyle w:val="Prrafodelista"/>
        <w:numPr>
          <w:ilvl w:val="0"/>
          <w:numId w:val="1"/>
        </w:numPr>
        <w:spacing w:after="0"/>
        <w:jc w:val="both"/>
      </w:pPr>
      <w:r w:rsidRPr="00172053">
        <w:rPr>
          <w:rFonts w:ascii="Cambria" w:hAnsi="Cambria"/>
        </w:rPr>
        <w:t xml:space="preserve">En parejas lean las fuentes y </w:t>
      </w:r>
      <w:r>
        <w:rPr>
          <w:rFonts w:ascii="Cambria" w:hAnsi="Cambria"/>
        </w:rPr>
        <w:t>realicen un mapa mental sobre el proceso</w:t>
      </w:r>
      <w:r w:rsidR="00016176">
        <w:rPr>
          <w:rFonts w:ascii="Cambria" w:hAnsi="Cambria"/>
        </w:rPr>
        <w:t xml:space="preserve"> de independencia de Estados Unidos considerando</w:t>
      </w:r>
      <w:r w:rsidRPr="00172053">
        <w:rPr>
          <w:rFonts w:ascii="Cambria" w:hAnsi="Cambria"/>
        </w:rPr>
        <w:t>:</w:t>
      </w:r>
    </w:p>
    <w:p w14:paraId="4D91DEC2" w14:textId="6BA9D70D" w:rsidR="00016176" w:rsidRPr="00016176" w:rsidRDefault="00016176" w:rsidP="00016176">
      <w:pPr>
        <w:pStyle w:val="Prrafodelista"/>
        <w:numPr>
          <w:ilvl w:val="0"/>
          <w:numId w:val="2"/>
        </w:numPr>
        <w:spacing w:after="0"/>
        <w:jc w:val="both"/>
      </w:pPr>
      <w:r>
        <w:rPr>
          <w:rFonts w:ascii="Cambria" w:hAnsi="Cambria"/>
        </w:rPr>
        <w:t>Causas y antecedentes</w:t>
      </w:r>
    </w:p>
    <w:p w14:paraId="790A1805" w14:textId="46D93E51" w:rsidR="00016176" w:rsidRPr="00016176" w:rsidRDefault="00016176" w:rsidP="00016176">
      <w:pPr>
        <w:pStyle w:val="Prrafodelista"/>
        <w:numPr>
          <w:ilvl w:val="0"/>
          <w:numId w:val="2"/>
        </w:numPr>
        <w:spacing w:after="0"/>
        <w:jc w:val="both"/>
      </w:pPr>
      <w:r>
        <w:rPr>
          <w:rFonts w:ascii="Cambria" w:hAnsi="Cambria"/>
        </w:rPr>
        <w:t>Desarrollo</w:t>
      </w:r>
    </w:p>
    <w:p w14:paraId="6EF0CF49" w14:textId="54C26DB2" w:rsidR="00016176" w:rsidRPr="00016176" w:rsidRDefault="00016176" w:rsidP="00016176">
      <w:pPr>
        <w:pStyle w:val="Prrafodelista"/>
        <w:numPr>
          <w:ilvl w:val="0"/>
          <w:numId w:val="2"/>
        </w:numPr>
        <w:spacing w:after="0"/>
        <w:jc w:val="both"/>
      </w:pPr>
      <w:r>
        <w:rPr>
          <w:rFonts w:ascii="Cambria" w:hAnsi="Cambria"/>
        </w:rPr>
        <w:t>Relación con los pensamientos ilustrados</w:t>
      </w:r>
    </w:p>
    <w:p w14:paraId="4174BE8B" w14:textId="1FBC2C81" w:rsidR="00016176" w:rsidRPr="00932E0F" w:rsidRDefault="00016176" w:rsidP="00016176">
      <w:pPr>
        <w:pStyle w:val="Prrafodelista"/>
        <w:numPr>
          <w:ilvl w:val="0"/>
          <w:numId w:val="2"/>
        </w:numPr>
        <w:spacing w:after="0"/>
        <w:jc w:val="both"/>
      </w:pPr>
      <w:r>
        <w:rPr>
          <w:rFonts w:ascii="Cambria" w:hAnsi="Cambria"/>
        </w:rPr>
        <w:t>Juicio personal</w:t>
      </w:r>
    </w:p>
    <w:p w14:paraId="3EC3D21D" w14:textId="57476590" w:rsidR="00932E0F" w:rsidRPr="00932E0F" w:rsidRDefault="00932E0F" w:rsidP="00932E0F">
      <w:pPr>
        <w:spacing w:after="0"/>
        <w:jc w:val="both"/>
        <w:rPr>
          <w:rFonts w:ascii="Cambria" w:hAnsi="Cambria"/>
          <w:sz w:val="20"/>
          <w:szCs w:val="20"/>
        </w:rPr>
      </w:pPr>
      <w:r>
        <w:rPr>
          <w:rFonts w:ascii="Cambria" w:hAnsi="Cambria"/>
          <w:sz w:val="20"/>
          <w:szCs w:val="20"/>
        </w:rPr>
        <w:t>Fuente 1:</w:t>
      </w:r>
    </w:p>
    <w:tbl>
      <w:tblPr>
        <w:tblStyle w:val="Tablaconcuadrcula"/>
        <w:tblW w:w="0" w:type="auto"/>
        <w:tblLook w:val="04A0" w:firstRow="1" w:lastRow="0" w:firstColumn="1" w:lastColumn="0" w:noHBand="0" w:noVBand="1"/>
      </w:tblPr>
      <w:tblGrid>
        <w:gridCol w:w="4414"/>
        <w:gridCol w:w="4414"/>
      </w:tblGrid>
      <w:tr w:rsidR="00932E0F" w14:paraId="73C87AD2" w14:textId="77777777" w:rsidTr="00932E0F">
        <w:tc>
          <w:tcPr>
            <w:tcW w:w="8978" w:type="dxa"/>
            <w:gridSpan w:val="2"/>
          </w:tcPr>
          <w:p w14:paraId="140A8CCE" w14:textId="1D04E3B4" w:rsidR="00932E0F" w:rsidRPr="00932E0F" w:rsidRDefault="00932E0F" w:rsidP="00932E0F">
            <w:pPr>
              <w:jc w:val="center"/>
              <w:rPr>
                <w:rFonts w:ascii="Cambria" w:hAnsi="Cambria"/>
                <w:b/>
                <w:bCs/>
                <w:sz w:val="20"/>
                <w:szCs w:val="20"/>
              </w:rPr>
            </w:pPr>
            <w:r>
              <w:rPr>
                <w:rFonts w:ascii="Cambria" w:hAnsi="Cambria"/>
                <w:b/>
                <w:bCs/>
                <w:sz w:val="20"/>
                <w:szCs w:val="20"/>
              </w:rPr>
              <w:t>ANTECEDENTES DE LA INDEPENDENCIA DE ESTADOS UNIDOS</w:t>
            </w:r>
          </w:p>
        </w:tc>
      </w:tr>
      <w:tr w:rsidR="00932E0F" w14:paraId="4381657A" w14:textId="77777777" w:rsidTr="00932E0F">
        <w:tc>
          <w:tcPr>
            <w:tcW w:w="8978" w:type="dxa"/>
            <w:gridSpan w:val="2"/>
          </w:tcPr>
          <w:p w14:paraId="1E0867C3" w14:textId="0AADAA42" w:rsidR="00932E0F" w:rsidRPr="00932E0F" w:rsidRDefault="00932E0F" w:rsidP="00932E0F">
            <w:pPr>
              <w:jc w:val="both"/>
              <w:rPr>
                <w:rFonts w:ascii="Cambria" w:hAnsi="Cambria"/>
                <w:b/>
                <w:bCs/>
                <w:sz w:val="20"/>
                <w:szCs w:val="20"/>
              </w:rPr>
            </w:pPr>
            <w:r w:rsidRPr="00932E0F">
              <w:rPr>
                <w:rFonts w:ascii="Cambria" w:hAnsi="Cambria"/>
                <w:sz w:val="20"/>
                <w:szCs w:val="20"/>
              </w:rPr>
              <w:t>En 1607, los ingleses fundaron Jamestown en Norteamérica, lugar en el que comenzaron a cultivar y exportar tabaco. Luego, llegaron grupos de disidentes religiosos del anglicanismo que abandonaron Inglaterra por ser perseguidos y se asentaron en la costa de Massachusetts, donde fundaron la colonia de New Plymouth, la que al ser conformada por sujetos que deseaban practicar su culto sin restricciones ni hostigamientos, pusieron los pilares de la cultura estadounidense.</w:t>
            </w:r>
          </w:p>
        </w:tc>
      </w:tr>
      <w:tr w:rsidR="00932E0F" w14:paraId="020114F9" w14:textId="77777777" w:rsidTr="00932E0F">
        <w:tc>
          <w:tcPr>
            <w:tcW w:w="4489" w:type="dxa"/>
          </w:tcPr>
          <w:p w14:paraId="6D1CCF22" w14:textId="73F97C02" w:rsidR="00932E0F" w:rsidRDefault="00932E0F" w:rsidP="00932E0F">
            <w:pPr>
              <w:jc w:val="both"/>
              <w:rPr>
                <w:rFonts w:ascii="Cambria" w:hAnsi="Cambria"/>
                <w:sz w:val="20"/>
                <w:szCs w:val="20"/>
              </w:rPr>
            </w:pPr>
            <w:r w:rsidRPr="00932E0F">
              <w:rPr>
                <w:rFonts w:ascii="Cambria" w:hAnsi="Cambria"/>
                <w:sz w:val="20"/>
                <w:szCs w:val="20"/>
              </w:rPr>
              <w:t>Hacia mediados del siglo XVIII, las colonias inglesas eran trece; cada una con un gobierno a cargo de los asuntos internos. Aquellas materias relacionadas con el comercio exterior y la defensa dependían de la Corona británica.</w:t>
            </w:r>
          </w:p>
        </w:tc>
        <w:tc>
          <w:tcPr>
            <w:tcW w:w="4489" w:type="dxa"/>
          </w:tcPr>
          <w:p w14:paraId="05434D82" w14:textId="4145DA2D" w:rsidR="00932E0F" w:rsidRDefault="00932E0F" w:rsidP="00932E0F">
            <w:pPr>
              <w:jc w:val="both"/>
              <w:rPr>
                <w:rFonts w:ascii="Cambria" w:hAnsi="Cambria"/>
                <w:sz w:val="20"/>
                <w:szCs w:val="20"/>
              </w:rPr>
            </w:pPr>
            <w:r w:rsidRPr="00932E0F">
              <w:rPr>
                <w:rFonts w:ascii="Cambria" w:hAnsi="Cambria"/>
                <w:sz w:val="20"/>
                <w:szCs w:val="20"/>
              </w:rPr>
              <w:t>Inglaterra y Francia tenían posesiones en América del Norte. Ambas potencias se enfrentaron en 1756 en la guerra de los Siete Años. Inglaterra triunfó y, como consecuencia, creció la confianza de los colonos en sus propias capacidades e Inglaterra aumentó los impuestos coloniales para recuperar los gastos de la guerra.</w:t>
            </w:r>
          </w:p>
        </w:tc>
      </w:tr>
      <w:tr w:rsidR="00932E0F" w14:paraId="380D666E" w14:textId="77777777" w:rsidTr="00932E0F">
        <w:tc>
          <w:tcPr>
            <w:tcW w:w="4489" w:type="dxa"/>
          </w:tcPr>
          <w:p w14:paraId="7E8E5664" w14:textId="434F99A8" w:rsidR="00932E0F" w:rsidRDefault="00932E0F" w:rsidP="00932E0F">
            <w:pPr>
              <w:jc w:val="both"/>
              <w:rPr>
                <w:rFonts w:ascii="Cambria" w:hAnsi="Cambria"/>
                <w:sz w:val="20"/>
                <w:szCs w:val="20"/>
              </w:rPr>
            </w:pPr>
            <w:r w:rsidRPr="00932E0F">
              <w:rPr>
                <w:rFonts w:ascii="Cambria" w:hAnsi="Cambria"/>
                <w:sz w:val="20"/>
                <w:szCs w:val="20"/>
              </w:rPr>
              <w:t>Inglaterra también prohibió a las colonias abrir nuevas fábricas y estableció nuevas tasas aduaneras, iniciativas mercantilistas que buscaban aumentar la recaudación de dinero del gobierno inglés</w:t>
            </w:r>
          </w:p>
        </w:tc>
        <w:tc>
          <w:tcPr>
            <w:tcW w:w="4489" w:type="dxa"/>
          </w:tcPr>
          <w:p w14:paraId="3595348A" w14:textId="01D6C662" w:rsidR="00932E0F" w:rsidRDefault="00932E0F" w:rsidP="00932E0F">
            <w:pPr>
              <w:jc w:val="both"/>
              <w:rPr>
                <w:rFonts w:ascii="Cambria" w:hAnsi="Cambria"/>
                <w:sz w:val="20"/>
                <w:szCs w:val="20"/>
              </w:rPr>
            </w:pPr>
            <w:r w:rsidRPr="00932E0F">
              <w:rPr>
                <w:rFonts w:ascii="Cambria" w:hAnsi="Cambria"/>
                <w:sz w:val="20"/>
                <w:szCs w:val="20"/>
              </w:rPr>
              <w:t>Los colonos se resistieron a las nuevas medidas. Una de las acciones más conocidas fue el motín del Té de Boston (1773), incidente en que los colonos arrojaron al mar un cargamento de té como protesta contra el alza del impuesto de ese producto.</w:t>
            </w:r>
          </w:p>
        </w:tc>
      </w:tr>
    </w:tbl>
    <w:p w14:paraId="625FA1E0" w14:textId="57ADB91F" w:rsidR="00932E0F" w:rsidRDefault="00932E0F" w:rsidP="00932E0F">
      <w:pPr>
        <w:spacing w:after="0"/>
        <w:jc w:val="both"/>
        <w:rPr>
          <w:rFonts w:ascii="Cambria" w:hAnsi="Cambria"/>
          <w:sz w:val="20"/>
          <w:szCs w:val="20"/>
        </w:rPr>
      </w:pPr>
      <w:r>
        <w:rPr>
          <w:rFonts w:ascii="Cambria" w:hAnsi="Cambria"/>
          <w:sz w:val="20"/>
          <w:szCs w:val="20"/>
        </w:rPr>
        <w:t>Fuente 2:</w:t>
      </w:r>
    </w:p>
    <w:p w14:paraId="6BC4D4A5" w14:textId="77777777" w:rsidR="00932E0F" w:rsidRDefault="00932E0F" w:rsidP="00932E0F">
      <w:pPr>
        <w:spacing w:after="0"/>
        <w:jc w:val="both"/>
        <w:rPr>
          <w:rFonts w:ascii="Cambria" w:hAnsi="Cambria"/>
          <w:sz w:val="20"/>
          <w:szCs w:val="20"/>
        </w:rPr>
      </w:pPr>
      <w:r w:rsidRPr="00932E0F">
        <w:rPr>
          <w:rFonts w:ascii="Cambria" w:hAnsi="Cambria"/>
          <w:sz w:val="20"/>
          <w:szCs w:val="20"/>
        </w:rPr>
        <w:t>“Los hombres huyeron a América para escapar de las persecuciones del monstruo en casa. Ahora ha llegado el tiempo de separarse de tan perverso pariente, al momento y para siempre. El verdadero interés de América reside en la dirección del comercio libre, de la independencia y en la ilimitada expansión dentro de los límites del continente. Las pequeñas islas necesitan proyección, pero hay algo de absurdo en suponer que un continente será perpetuamente gobernado por una isla. No queda otra cosa que la Independencia, con la cual se preservará la paz, prosperidad y la felicidad de los norteamericanos”.</w:t>
      </w:r>
    </w:p>
    <w:p w14:paraId="29ED935C" w14:textId="791EA1E5" w:rsidR="00932E0F" w:rsidRDefault="00932E0F" w:rsidP="00932E0F">
      <w:pPr>
        <w:spacing w:after="0"/>
        <w:jc w:val="right"/>
        <w:rPr>
          <w:rFonts w:ascii="Cambria" w:hAnsi="Cambria"/>
          <w:sz w:val="20"/>
          <w:szCs w:val="20"/>
        </w:rPr>
      </w:pPr>
      <w:r w:rsidRPr="00932E0F">
        <w:rPr>
          <w:rFonts w:ascii="Cambria" w:hAnsi="Cambria"/>
          <w:sz w:val="20"/>
          <w:szCs w:val="20"/>
        </w:rPr>
        <w:t xml:space="preserve"> Paine, T. (1821). </w:t>
      </w:r>
      <w:r w:rsidRPr="00932E0F">
        <w:rPr>
          <w:rFonts w:ascii="Cambria" w:hAnsi="Cambria"/>
          <w:i/>
          <w:iCs/>
          <w:sz w:val="20"/>
          <w:szCs w:val="20"/>
        </w:rPr>
        <w:t>El derecho del hombre, para el uso y provecho del género humano</w:t>
      </w:r>
      <w:r>
        <w:rPr>
          <w:rFonts w:ascii="Cambria" w:hAnsi="Cambria"/>
          <w:sz w:val="20"/>
          <w:szCs w:val="20"/>
        </w:rPr>
        <w:t>.</w:t>
      </w:r>
    </w:p>
    <w:p w14:paraId="5247F7F6" w14:textId="6F1EA577" w:rsidR="00932E0F" w:rsidRDefault="00932E0F" w:rsidP="00932E0F">
      <w:pPr>
        <w:spacing w:after="0"/>
        <w:jc w:val="both"/>
        <w:rPr>
          <w:rFonts w:ascii="Cambria" w:hAnsi="Cambria"/>
          <w:sz w:val="20"/>
          <w:szCs w:val="20"/>
        </w:rPr>
      </w:pPr>
      <w:r>
        <w:rPr>
          <w:rFonts w:ascii="Cambria" w:hAnsi="Cambria"/>
          <w:sz w:val="20"/>
          <w:szCs w:val="20"/>
        </w:rPr>
        <w:t>Fuente 3:</w:t>
      </w:r>
    </w:p>
    <w:p w14:paraId="72BAC126" w14:textId="77777777" w:rsidR="00932E0F" w:rsidRDefault="00932E0F" w:rsidP="00932E0F">
      <w:pPr>
        <w:spacing w:after="0"/>
        <w:jc w:val="both"/>
        <w:rPr>
          <w:rFonts w:ascii="Cambria" w:hAnsi="Cambria"/>
          <w:sz w:val="20"/>
          <w:szCs w:val="20"/>
        </w:rPr>
      </w:pPr>
      <w:r w:rsidRPr="00932E0F">
        <w:rPr>
          <w:rFonts w:ascii="Cambria" w:hAnsi="Cambria"/>
          <w:sz w:val="20"/>
          <w:szCs w:val="20"/>
        </w:rPr>
        <w:t xml:space="preserve">“Sostenemos como evidentes estas verdades: que todos los hombres son creados iguales; que son dotados por su Creador de ciertos derechos inalienables; que entre estos están la vida, la libertad y la búsqueda de la felicidad; que para garantizar estos derechos se instituyen entre los hombres los gobiernos, que derivan sus poderes legítimos del consentimiento de los gobernados; que cuando quiera que una forma de gobierno se haga destructora de estos principios, el pueblo tiene el derecho a reformarla o abolirla e instituir un nuevo gobierno que se funde en dichos principios, y a organizar sus poderes en la forma que a su juicio ofrecerá las mayores probabilidades de alcanzar su seguridad y felicidad (…)”. </w:t>
      </w:r>
    </w:p>
    <w:p w14:paraId="7F852809" w14:textId="0190C2F3" w:rsidR="00932E0F" w:rsidRDefault="00932E0F" w:rsidP="00932E0F">
      <w:pPr>
        <w:spacing w:after="0"/>
        <w:jc w:val="right"/>
        <w:rPr>
          <w:rFonts w:ascii="Cambria" w:hAnsi="Cambria"/>
          <w:sz w:val="20"/>
          <w:szCs w:val="20"/>
        </w:rPr>
      </w:pPr>
      <w:r w:rsidRPr="00932E0F">
        <w:rPr>
          <w:rFonts w:ascii="Cambria" w:hAnsi="Cambria"/>
          <w:sz w:val="20"/>
          <w:szCs w:val="20"/>
        </w:rPr>
        <w:t>Declaración de Independencia de Estados Unidos, 4 de julio de 1776</w:t>
      </w:r>
      <w:r>
        <w:rPr>
          <w:rFonts w:ascii="Cambria" w:hAnsi="Cambria"/>
          <w:sz w:val="20"/>
          <w:szCs w:val="20"/>
        </w:rPr>
        <w:t>.</w:t>
      </w:r>
    </w:p>
    <w:p w14:paraId="1B96B6CB" w14:textId="4D6EDC0A" w:rsidR="00932E0F" w:rsidRDefault="00932E0F" w:rsidP="00932E0F">
      <w:pPr>
        <w:spacing w:after="0"/>
        <w:jc w:val="both"/>
        <w:rPr>
          <w:rFonts w:ascii="Cambria" w:hAnsi="Cambria"/>
          <w:sz w:val="20"/>
          <w:szCs w:val="20"/>
        </w:rPr>
      </w:pPr>
      <w:r>
        <w:rPr>
          <w:rFonts w:ascii="Cambria" w:hAnsi="Cambria"/>
          <w:sz w:val="20"/>
          <w:szCs w:val="20"/>
        </w:rPr>
        <w:t>Fuente 4:</w:t>
      </w:r>
    </w:p>
    <w:p w14:paraId="6D15A983" w14:textId="77777777" w:rsidR="00932E0F" w:rsidRDefault="00932E0F" w:rsidP="00932E0F">
      <w:pPr>
        <w:spacing w:after="0"/>
        <w:jc w:val="both"/>
        <w:rPr>
          <w:rFonts w:ascii="Cambria" w:hAnsi="Cambria"/>
          <w:sz w:val="20"/>
          <w:szCs w:val="20"/>
        </w:rPr>
      </w:pPr>
      <w:r w:rsidRPr="00932E0F">
        <w:rPr>
          <w:rFonts w:ascii="Cambria" w:hAnsi="Cambria"/>
          <w:sz w:val="20"/>
          <w:szCs w:val="20"/>
        </w:rPr>
        <w:t xml:space="preserve">“La declaración de Independencia, redactada por Jefferson, procede del deseo de justificar a las colonias sublevadas ante el tribunal de las naciones; presupone la validez eterna de la ley natural. Afirma que los hombres poseen ciertos derechos inalienables: la vida, la libertad y la búsqueda de la felicidad. La función del Gobierno consiste en preservar estos derechos naturales: si incumple esta misión, los gobernados tienen el derecho de sublevarse (…). La constitución americana es el fruto de un compromiso entre grandes y pequeños Estados; entre partidarios de un poder fuerte y partidarios de las libertades locales; entre quienes estimulan la industrialización y quienes se apoyan en la agricultura”. </w:t>
      </w:r>
    </w:p>
    <w:p w14:paraId="58023023" w14:textId="3D1F192D" w:rsidR="00932E0F" w:rsidRDefault="00932E0F" w:rsidP="00932E0F">
      <w:pPr>
        <w:spacing w:after="0"/>
        <w:jc w:val="right"/>
        <w:rPr>
          <w:rFonts w:ascii="Cambria" w:hAnsi="Cambria"/>
          <w:sz w:val="20"/>
          <w:szCs w:val="20"/>
        </w:rPr>
      </w:pPr>
      <w:proofErr w:type="spellStart"/>
      <w:r w:rsidRPr="00932E0F">
        <w:rPr>
          <w:rFonts w:ascii="Cambria" w:hAnsi="Cambria"/>
          <w:sz w:val="20"/>
          <w:szCs w:val="20"/>
        </w:rPr>
        <w:t>Touchard</w:t>
      </w:r>
      <w:proofErr w:type="spellEnd"/>
      <w:r w:rsidRPr="00932E0F">
        <w:rPr>
          <w:rFonts w:ascii="Cambria" w:hAnsi="Cambria"/>
          <w:sz w:val="20"/>
          <w:szCs w:val="20"/>
        </w:rPr>
        <w:t xml:space="preserve">, J. (1972). </w:t>
      </w:r>
      <w:r w:rsidRPr="00932E0F">
        <w:rPr>
          <w:rFonts w:ascii="Cambria" w:hAnsi="Cambria"/>
          <w:i/>
          <w:iCs/>
          <w:sz w:val="20"/>
          <w:szCs w:val="20"/>
        </w:rPr>
        <w:t>Historia de las ideas políticas</w:t>
      </w:r>
      <w:r w:rsidRPr="00932E0F">
        <w:rPr>
          <w:rFonts w:ascii="Cambria" w:hAnsi="Cambria"/>
          <w:sz w:val="20"/>
          <w:szCs w:val="20"/>
        </w:rPr>
        <w:t xml:space="preserve">.  </w:t>
      </w:r>
    </w:p>
    <w:p w14:paraId="209BBDDF" w14:textId="77777777" w:rsidR="00D85893" w:rsidRDefault="00D85893" w:rsidP="00016176">
      <w:pPr>
        <w:spacing w:after="0"/>
        <w:rPr>
          <w:rFonts w:ascii="Cambria" w:hAnsi="Cambria"/>
          <w:sz w:val="20"/>
          <w:szCs w:val="20"/>
        </w:rPr>
      </w:pPr>
    </w:p>
    <w:tbl>
      <w:tblPr>
        <w:tblStyle w:val="Tablaconcuadrcula"/>
        <w:tblW w:w="0" w:type="auto"/>
        <w:tblLook w:val="04A0" w:firstRow="1" w:lastRow="0" w:firstColumn="1" w:lastColumn="0" w:noHBand="0" w:noVBand="1"/>
      </w:tblPr>
      <w:tblGrid>
        <w:gridCol w:w="2122"/>
        <w:gridCol w:w="5670"/>
        <w:gridCol w:w="1036"/>
      </w:tblGrid>
      <w:tr w:rsidR="00D85893" w14:paraId="5E82E9C6" w14:textId="77777777" w:rsidTr="0071394B">
        <w:tc>
          <w:tcPr>
            <w:tcW w:w="8828" w:type="dxa"/>
            <w:gridSpan w:val="3"/>
          </w:tcPr>
          <w:p w14:paraId="76D1825C" w14:textId="49F15F68" w:rsidR="00D85893" w:rsidRPr="00D85893" w:rsidRDefault="00D85893" w:rsidP="00D85893">
            <w:pPr>
              <w:jc w:val="center"/>
              <w:rPr>
                <w:rFonts w:ascii="Cambria" w:hAnsi="Cambria"/>
                <w:b/>
                <w:bCs/>
                <w:sz w:val="20"/>
                <w:szCs w:val="20"/>
              </w:rPr>
            </w:pPr>
            <w:r>
              <w:rPr>
                <w:rFonts w:ascii="Cambria" w:hAnsi="Cambria"/>
                <w:b/>
                <w:bCs/>
                <w:sz w:val="20"/>
                <w:szCs w:val="20"/>
              </w:rPr>
              <w:t>PAUTA PARA EVALUAR MAPA MENTAL</w:t>
            </w:r>
          </w:p>
        </w:tc>
      </w:tr>
      <w:tr w:rsidR="00D85893" w14:paraId="5B960680" w14:textId="77777777" w:rsidTr="00D85893">
        <w:tc>
          <w:tcPr>
            <w:tcW w:w="2122" w:type="dxa"/>
          </w:tcPr>
          <w:p w14:paraId="5F4F2F90" w14:textId="32D6A72C" w:rsidR="00D85893" w:rsidRPr="00D85893" w:rsidRDefault="00D85893" w:rsidP="00D85893">
            <w:pPr>
              <w:jc w:val="both"/>
              <w:rPr>
                <w:rFonts w:ascii="Cambria" w:hAnsi="Cambria"/>
                <w:b/>
                <w:bCs/>
                <w:sz w:val="20"/>
                <w:szCs w:val="20"/>
              </w:rPr>
            </w:pPr>
            <w:r>
              <w:rPr>
                <w:rFonts w:ascii="Cambria" w:hAnsi="Cambria"/>
                <w:b/>
                <w:bCs/>
                <w:sz w:val="20"/>
                <w:szCs w:val="20"/>
              </w:rPr>
              <w:t>Criterio</w:t>
            </w:r>
          </w:p>
        </w:tc>
        <w:tc>
          <w:tcPr>
            <w:tcW w:w="5670" w:type="dxa"/>
          </w:tcPr>
          <w:p w14:paraId="7BE090F5" w14:textId="07213B26" w:rsidR="00D85893" w:rsidRPr="00D85893" w:rsidRDefault="00D85893" w:rsidP="00D85893">
            <w:pPr>
              <w:jc w:val="both"/>
              <w:rPr>
                <w:rFonts w:ascii="Cambria" w:hAnsi="Cambria"/>
                <w:b/>
                <w:bCs/>
                <w:sz w:val="20"/>
                <w:szCs w:val="20"/>
              </w:rPr>
            </w:pPr>
            <w:r>
              <w:rPr>
                <w:rFonts w:ascii="Cambria" w:hAnsi="Cambria"/>
                <w:b/>
                <w:bCs/>
                <w:sz w:val="20"/>
                <w:szCs w:val="20"/>
              </w:rPr>
              <w:t>Descripción</w:t>
            </w:r>
          </w:p>
        </w:tc>
        <w:tc>
          <w:tcPr>
            <w:tcW w:w="1036" w:type="dxa"/>
          </w:tcPr>
          <w:p w14:paraId="71260B8D" w14:textId="1C6AE703" w:rsidR="00D85893" w:rsidRPr="00D85893" w:rsidRDefault="00D85893" w:rsidP="00D85893">
            <w:pPr>
              <w:jc w:val="both"/>
              <w:rPr>
                <w:rFonts w:ascii="Cambria" w:hAnsi="Cambria"/>
                <w:b/>
                <w:bCs/>
                <w:sz w:val="20"/>
                <w:szCs w:val="20"/>
              </w:rPr>
            </w:pPr>
            <w:r>
              <w:rPr>
                <w:rFonts w:ascii="Cambria" w:hAnsi="Cambria"/>
                <w:b/>
                <w:bCs/>
                <w:sz w:val="20"/>
                <w:szCs w:val="20"/>
              </w:rPr>
              <w:t>Puntaje</w:t>
            </w:r>
          </w:p>
        </w:tc>
      </w:tr>
      <w:tr w:rsidR="00D85893" w14:paraId="56F9DD37" w14:textId="77777777" w:rsidTr="00D85893">
        <w:tc>
          <w:tcPr>
            <w:tcW w:w="2122" w:type="dxa"/>
          </w:tcPr>
          <w:p w14:paraId="25843418" w14:textId="07968B4B" w:rsidR="00D85893" w:rsidRDefault="00D85893" w:rsidP="00D85893">
            <w:pPr>
              <w:jc w:val="both"/>
              <w:rPr>
                <w:rFonts w:ascii="Cambria" w:hAnsi="Cambria"/>
                <w:sz w:val="20"/>
                <w:szCs w:val="20"/>
              </w:rPr>
            </w:pPr>
            <w:r w:rsidRPr="00D85893">
              <w:rPr>
                <w:rFonts w:ascii="Cambria" w:hAnsi="Cambria"/>
                <w:sz w:val="20"/>
                <w:szCs w:val="20"/>
              </w:rPr>
              <w:t>Selección y organización de la información relevante</w:t>
            </w:r>
          </w:p>
        </w:tc>
        <w:tc>
          <w:tcPr>
            <w:tcW w:w="5670" w:type="dxa"/>
          </w:tcPr>
          <w:p w14:paraId="5BCF3D28" w14:textId="32330250" w:rsidR="00D85893" w:rsidRDefault="00D85893" w:rsidP="00D85893">
            <w:pPr>
              <w:jc w:val="both"/>
              <w:rPr>
                <w:rFonts w:ascii="Cambria" w:hAnsi="Cambria"/>
                <w:sz w:val="20"/>
                <w:szCs w:val="20"/>
              </w:rPr>
            </w:pPr>
            <w:r w:rsidRPr="00D85893">
              <w:rPr>
                <w:rFonts w:ascii="Cambria" w:hAnsi="Cambria"/>
                <w:sz w:val="20"/>
                <w:szCs w:val="20"/>
              </w:rPr>
              <w:t>El mapa mental selecciona con precisión los antecedentes, ideas clave y eventos importantes de todas las fuentes. La información está claramente organizada en categorías, mostrando las relaciones entre las ideas.</w:t>
            </w:r>
          </w:p>
        </w:tc>
        <w:tc>
          <w:tcPr>
            <w:tcW w:w="1036" w:type="dxa"/>
          </w:tcPr>
          <w:p w14:paraId="386A0977" w14:textId="77777777" w:rsidR="00D85893" w:rsidRDefault="00D85893" w:rsidP="00D85893">
            <w:pPr>
              <w:jc w:val="both"/>
              <w:rPr>
                <w:rFonts w:ascii="Cambria" w:hAnsi="Cambria"/>
                <w:sz w:val="20"/>
                <w:szCs w:val="20"/>
              </w:rPr>
            </w:pPr>
          </w:p>
        </w:tc>
      </w:tr>
      <w:tr w:rsidR="00D85893" w14:paraId="093737DA" w14:textId="77777777" w:rsidTr="00D85893">
        <w:tc>
          <w:tcPr>
            <w:tcW w:w="2122" w:type="dxa"/>
          </w:tcPr>
          <w:p w14:paraId="4AA86FA8" w14:textId="5975F118" w:rsidR="00D85893" w:rsidRDefault="00D85893" w:rsidP="00D85893">
            <w:pPr>
              <w:jc w:val="both"/>
              <w:rPr>
                <w:rFonts w:ascii="Cambria" w:hAnsi="Cambria"/>
                <w:sz w:val="20"/>
                <w:szCs w:val="20"/>
              </w:rPr>
            </w:pPr>
            <w:r w:rsidRPr="00D85893">
              <w:rPr>
                <w:rFonts w:ascii="Cambria" w:hAnsi="Cambria"/>
                <w:sz w:val="20"/>
                <w:szCs w:val="20"/>
              </w:rPr>
              <w:t>Comprensión de los antecedentes y causas de la independencia</w:t>
            </w:r>
          </w:p>
        </w:tc>
        <w:tc>
          <w:tcPr>
            <w:tcW w:w="5670" w:type="dxa"/>
          </w:tcPr>
          <w:p w14:paraId="3AD0505B" w14:textId="24594719" w:rsidR="00D85893" w:rsidRDefault="00D85893" w:rsidP="00D85893">
            <w:pPr>
              <w:jc w:val="both"/>
              <w:rPr>
                <w:rFonts w:ascii="Cambria" w:hAnsi="Cambria"/>
                <w:sz w:val="20"/>
                <w:szCs w:val="20"/>
              </w:rPr>
            </w:pPr>
            <w:r w:rsidRPr="00D85893">
              <w:rPr>
                <w:rFonts w:ascii="Cambria" w:hAnsi="Cambria"/>
                <w:sz w:val="20"/>
                <w:szCs w:val="20"/>
              </w:rPr>
              <w:t>Explica con profundidad los antecedentes políticos, económicos y sociales de la independencia (ej. guerra de los Siete Años, políticas fiscales británicas, descontento colonial) basándose en las fuentes.</w:t>
            </w:r>
          </w:p>
        </w:tc>
        <w:tc>
          <w:tcPr>
            <w:tcW w:w="1036" w:type="dxa"/>
          </w:tcPr>
          <w:p w14:paraId="64A7821B" w14:textId="77777777" w:rsidR="00D85893" w:rsidRDefault="00D85893" w:rsidP="00D85893">
            <w:pPr>
              <w:jc w:val="both"/>
              <w:rPr>
                <w:rFonts w:ascii="Cambria" w:hAnsi="Cambria"/>
                <w:sz w:val="20"/>
                <w:szCs w:val="20"/>
              </w:rPr>
            </w:pPr>
          </w:p>
        </w:tc>
      </w:tr>
      <w:tr w:rsidR="00D85893" w14:paraId="1ACEE1F0" w14:textId="77777777" w:rsidTr="00D85893">
        <w:tc>
          <w:tcPr>
            <w:tcW w:w="2122" w:type="dxa"/>
          </w:tcPr>
          <w:p w14:paraId="435DE435" w14:textId="78A9A2AB" w:rsidR="00D85893" w:rsidRPr="00D85893" w:rsidRDefault="00D85893" w:rsidP="00D85893">
            <w:pPr>
              <w:jc w:val="both"/>
              <w:rPr>
                <w:rFonts w:ascii="Cambria" w:hAnsi="Cambria"/>
                <w:sz w:val="20"/>
                <w:szCs w:val="20"/>
              </w:rPr>
            </w:pPr>
            <w:r w:rsidRPr="00D85893">
              <w:rPr>
                <w:rFonts w:ascii="Cambria" w:hAnsi="Cambria"/>
                <w:sz w:val="20"/>
                <w:szCs w:val="20"/>
              </w:rPr>
              <w:t>Análisis crítico del proceso de independencia</w:t>
            </w:r>
          </w:p>
        </w:tc>
        <w:tc>
          <w:tcPr>
            <w:tcW w:w="5670" w:type="dxa"/>
          </w:tcPr>
          <w:p w14:paraId="04089A27" w14:textId="1833121C" w:rsidR="00D85893" w:rsidRPr="00D85893" w:rsidRDefault="00D85893" w:rsidP="00D85893">
            <w:pPr>
              <w:jc w:val="both"/>
              <w:rPr>
                <w:rFonts w:ascii="Cambria" w:hAnsi="Cambria"/>
                <w:sz w:val="20"/>
                <w:szCs w:val="20"/>
              </w:rPr>
            </w:pPr>
            <w:r w:rsidRPr="00D85893">
              <w:rPr>
                <w:rFonts w:ascii="Cambria" w:hAnsi="Cambria"/>
                <w:sz w:val="20"/>
                <w:szCs w:val="20"/>
              </w:rPr>
              <w:t>Analiza críticamente las ideas y conceptos principales, como los derechos naturales, la legitimidad del gobierno y las razones para la independencia, vinculando los textos con la situación colonial.</w:t>
            </w:r>
          </w:p>
        </w:tc>
        <w:tc>
          <w:tcPr>
            <w:tcW w:w="1036" w:type="dxa"/>
          </w:tcPr>
          <w:p w14:paraId="590E75ED" w14:textId="77777777" w:rsidR="00D85893" w:rsidRDefault="00D85893" w:rsidP="00D85893">
            <w:pPr>
              <w:jc w:val="both"/>
              <w:rPr>
                <w:rFonts w:ascii="Cambria" w:hAnsi="Cambria"/>
                <w:sz w:val="20"/>
                <w:szCs w:val="20"/>
              </w:rPr>
            </w:pPr>
          </w:p>
        </w:tc>
      </w:tr>
      <w:tr w:rsidR="00CA5462" w14:paraId="3BB2F311" w14:textId="77777777" w:rsidTr="00D85893">
        <w:tc>
          <w:tcPr>
            <w:tcW w:w="2122" w:type="dxa"/>
          </w:tcPr>
          <w:p w14:paraId="16A50863" w14:textId="2D3F4CD0" w:rsidR="00CA5462" w:rsidRPr="00D85893" w:rsidRDefault="00CA5462" w:rsidP="00D85893">
            <w:pPr>
              <w:jc w:val="both"/>
              <w:rPr>
                <w:rFonts w:ascii="Cambria" w:hAnsi="Cambria"/>
                <w:sz w:val="20"/>
                <w:szCs w:val="20"/>
              </w:rPr>
            </w:pPr>
            <w:r w:rsidRPr="00CA5462">
              <w:rPr>
                <w:rFonts w:ascii="Cambria" w:hAnsi="Cambria"/>
                <w:sz w:val="20"/>
                <w:szCs w:val="20"/>
              </w:rPr>
              <w:t>Relación con las ideas ilustradas</w:t>
            </w:r>
          </w:p>
        </w:tc>
        <w:tc>
          <w:tcPr>
            <w:tcW w:w="5670" w:type="dxa"/>
          </w:tcPr>
          <w:p w14:paraId="543F8E96" w14:textId="054C99B7" w:rsidR="00CA5462" w:rsidRPr="00D85893" w:rsidRDefault="00CA5462" w:rsidP="00D85893">
            <w:pPr>
              <w:jc w:val="both"/>
              <w:rPr>
                <w:rFonts w:ascii="Cambria" w:hAnsi="Cambria"/>
                <w:sz w:val="20"/>
                <w:szCs w:val="20"/>
              </w:rPr>
            </w:pPr>
            <w:r w:rsidRPr="00CA5462">
              <w:rPr>
                <w:rFonts w:ascii="Cambria" w:hAnsi="Cambria"/>
                <w:sz w:val="20"/>
                <w:szCs w:val="20"/>
              </w:rPr>
              <w:t>Explica de manera clara y detallada cómo las ideas de la Ilustración, como los derechos naturales, el contrato social y la soberanía popular, influyeron en el proceso de independencia de Estados Unidos, estableciendo conexiones con las fuentes.</w:t>
            </w:r>
          </w:p>
        </w:tc>
        <w:tc>
          <w:tcPr>
            <w:tcW w:w="1036" w:type="dxa"/>
          </w:tcPr>
          <w:p w14:paraId="254DFB6B" w14:textId="77777777" w:rsidR="00CA5462" w:rsidRDefault="00CA5462" w:rsidP="00D85893">
            <w:pPr>
              <w:jc w:val="both"/>
              <w:rPr>
                <w:rFonts w:ascii="Cambria" w:hAnsi="Cambria"/>
                <w:sz w:val="20"/>
                <w:szCs w:val="20"/>
              </w:rPr>
            </w:pPr>
          </w:p>
        </w:tc>
      </w:tr>
      <w:tr w:rsidR="00D85893" w14:paraId="391E387F" w14:textId="77777777" w:rsidTr="00D85893">
        <w:tc>
          <w:tcPr>
            <w:tcW w:w="2122" w:type="dxa"/>
          </w:tcPr>
          <w:p w14:paraId="6BC4B05F" w14:textId="43064009" w:rsidR="00D85893" w:rsidRPr="00D85893" w:rsidRDefault="00D85893" w:rsidP="00D85893">
            <w:pPr>
              <w:jc w:val="both"/>
              <w:rPr>
                <w:rFonts w:ascii="Cambria" w:hAnsi="Cambria"/>
                <w:sz w:val="20"/>
                <w:szCs w:val="20"/>
              </w:rPr>
            </w:pPr>
            <w:r w:rsidRPr="00D85893">
              <w:rPr>
                <w:rFonts w:ascii="Cambria" w:hAnsi="Cambria"/>
                <w:sz w:val="20"/>
                <w:szCs w:val="20"/>
              </w:rPr>
              <w:t>Uso de las fuentes para apoyar las explicacione</w:t>
            </w:r>
            <w:r>
              <w:rPr>
                <w:rFonts w:ascii="Cambria" w:hAnsi="Cambria"/>
                <w:sz w:val="20"/>
                <w:szCs w:val="20"/>
              </w:rPr>
              <w:t>s</w:t>
            </w:r>
          </w:p>
        </w:tc>
        <w:tc>
          <w:tcPr>
            <w:tcW w:w="5670" w:type="dxa"/>
          </w:tcPr>
          <w:p w14:paraId="73AF1E53" w14:textId="0A5AA226" w:rsidR="00D85893" w:rsidRPr="00D85893" w:rsidRDefault="00D85893" w:rsidP="00D85893">
            <w:pPr>
              <w:jc w:val="both"/>
              <w:rPr>
                <w:rFonts w:ascii="Cambria" w:hAnsi="Cambria"/>
                <w:sz w:val="20"/>
                <w:szCs w:val="20"/>
              </w:rPr>
            </w:pPr>
            <w:r w:rsidRPr="00D85893">
              <w:rPr>
                <w:rFonts w:ascii="Cambria" w:hAnsi="Cambria"/>
                <w:sz w:val="20"/>
                <w:szCs w:val="20"/>
              </w:rPr>
              <w:t>Utiliza las fuentes de manera efectiva para respaldar las explicaciones. Cita ejemplos claros y precisos de cada fuente para fundamentar sus argumentos.</w:t>
            </w:r>
          </w:p>
        </w:tc>
        <w:tc>
          <w:tcPr>
            <w:tcW w:w="1036" w:type="dxa"/>
          </w:tcPr>
          <w:p w14:paraId="202B530F" w14:textId="77777777" w:rsidR="00D85893" w:rsidRDefault="00D85893" w:rsidP="00D85893">
            <w:pPr>
              <w:jc w:val="both"/>
              <w:rPr>
                <w:rFonts w:ascii="Cambria" w:hAnsi="Cambria"/>
                <w:sz w:val="20"/>
                <w:szCs w:val="20"/>
              </w:rPr>
            </w:pPr>
          </w:p>
        </w:tc>
      </w:tr>
      <w:tr w:rsidR="00D85893" w14:paraId="5010A87A" w14:textId="77777777" w:rsidTr="00D85893">
        <w:tc>
          <w:tcPr>
            <w:tcW w:w="2122" w:type="dxa"/>
          </w:tcPr>
          <w:p w14:paraId="2B60846C" w14:textId="7BC49752" w:rsidR="00D85893" w:rsidRPr="00D85893" w:rsidRDefault="00D85893" w:rsidP="00D85893">
            <w:pPr>
              <w:jc w:val="both"/>
              <w:rPr>
                <w:rFonts w:ascii="Cambria" w:hAnsi="Cambria"/>
                <w:sz w:val="20"/>
                <w:szCs w:val="20"/>
              </w:rPr>
            </w:pPr>
            <w:r>
              <w:rPr>
                <w:rFonts w:ascii="Cambria" w:hAnsi="Cambria"/>
                <w:sz w:val="20"/>
                <w:szCs w:val="20"/>
              </w:rPr>
              <w:t>Juicio personal</w:t>
            </w:r>
          </w:p>
        </w:tc>
        <w:tc>
          <w:tcPr>
            <w:tcW w:w="5670" w:type="dxa"/>
          </w:tcPr>
          <w:p w14:paraId="30C4DD15" w14:textId="70DE4733" w:rsidR="00D85893" w:rsidRPr="00D85893" w:rsidRDefault="00D85893" w:rsidP="00D85893">
            <w:pPr>
              <w:jc w:val="both"/>
              <w:rPr>
                <w:rFonts w:ascii="Cambria" w:hAnsi="Cambria"/>
                <w:sz w:val="20"/>
                <w:szCs w:val="20"/>
              </w:rPr>
            </w:pPr>
            <w:r>
              <w:rPr>
                <w:rFonts w:ascii="Cambria" w:hAnsi="Cambria"/>
                <w:sz w:val="20"/>
                <w:szCs w:val="20"/>
              </w:rPr>
              <w:t>Realizan un juicio personal sobre el proceso basado en argumentos sólidos.</w:t>
            </w:r>
          </w:p>
        </w:tc>
        <w:tc>
          <w:tcPr>
            <w:tcW w:w="1036" w:type="dxa"/>
          </w:tcPr>
          <w:p w14:paraId="0B622ACD" w14:textId="77777777" w:rsidR="00D85893" w:rsidRDefault="00D85893" w:rsidP="00D85893">
            <w:pPr>
              <w:jc w:val="both"/>
              <w:rPr>
                <w:rFonts w:ascii="Cambria" w:hAnsi="Cambria"/>
                <w:sz w:val="20"/>
                <w:szCs w:val="20"/>
              </w:rPr>
            </w:pPr>
          </w:p>
        </w:tc>
      </w:tr>
      <w:tr w:rsidR="00D85893" w14:paraId="41665F7C" w14:textId="77777777" w:rsidTr="00D85893">
        <w:tc>
          <w:tcPr>
            <w:tcW w:w="2122" w:type="dxa"/>
          </w:tcPr>
          <w:p w14:paraId="2E7A8862" w14:textId="24CA91DE" w:rsidR="00D85893" w:rsidRDefault="00D85893" w:rsidP="00D85893">
            <w:pPr>
              <w:jc w:val="both"/>
              <w:rPr>
                <w:rFonts w:ascii="Cambria" w:hAnsi="Cambria"/>
                <w:sz w:val="20"/>
                <w:szCs w:val="20"/>
              </w:rPr>
            </w:pPr>
            <w:r w:rsidRPr="00D85893">
              <w:rPr>
                <w:rFonts w:ascii="Cambria" w:hAnsi="Cambria"/>
                <w:sz w:val="20"/>
                <w:szCs w:val="20"/>
              </w:rPr>
              <w:t>Creatividad y claridad del mapa mental</w:t>
            </w:r>
          </w:p>
        </w:tc>
        <w:tc>
          <w:tcPr>
            <w:tcW w:w="5670" w:type="dxa"/>
          </w:tcPr>
          <w:p w14:paraId="2DCED0A0" w14:textId="50CA7B6C" w:rsidR="00D85893" w:rsidRDefault="00D85893" w:rsidP="00D85893">
            <w:pPr>
              <w:jc w:val="both"/>
              <w:rPr>
                <w:rFonts w:ascii="Cambria" w:hAnsi="Cambria"/>
                <w:sz w:val="20"/>
                <w:szCs w:val="20"/>
              </w:rPr>
            </w:pPr>
            <w:r w:rsidRPr="00D85893">
              <w:rPr>
                <w:rFonts w:ascii="Cambria" w:hAnsi="Cambria"/>
                <w:sz w:val="20"/>
                <w:szCs w:val="20"/>
              </w:rPr>
              <w:t>El mapa mental es claro, visualmente atractivo, con un diseño bien estructurado que facilita la comprensión. Usa categorías y conexiones para mostrar la relación entre ideas.</w:t>
            </w:r>
          </w:p>
        </w:tc>
        <w:tc>
          <w:tcPr>
            <w:tcW w:w="1036" w:type="dxa"/>
          </w:tcPr>
          <w:p w14:paraId="7226465D" w14:textId="77777777" w:rsidR="00D85893" w:rsidRDefault="00D85893" w:rsidP="00D85893">
            <w:pPr>
              <w:jc w:val="both"/>
              <w:rPr>
                <w:rFonts w:ascii="Cambria" w:hAnsi="Cambria"/>
                <w:sz w:val="20"/>
                <w:szCs w:val="20"/>
              </w:rPr>
            </w:pPr>
          </w:p>
        </w:tc>
      </w:tr>
      <w:tr w:rsidR="00D85893" w14:paraId="35613403" w14:textId="77777777" w:rsidTr="00D85893">
        <w:tc>
          <w:tcPr>
            <w:tcW w:w="2122" w:type="dxa"/>
          </w:tcPr>
          <w:p w14:paraId="368A1C1B" w14:textId="7C8BDA65" w:rsidR="00D85893" w:rsidRPr="00D85893" w:rsidRDefault="00D85893" w:rsidP="00D85893">
            <w:pPr>
              <w:jc w:val="both"/>
              <w:rPr>
                <w:rFonts w:ascii="Cambria" w:hAnsi="Cambria"/>
                <w:sz w:val="20"/>
                <w:szCs w:val="20"/>
              </w:rPr>
            </w:pPr>
            <w:r>
              <w:rPr>
                <w:rFonts w:ascii="Cambria" w:hAnsi="Cambria"/>
                <w:sz w:val="20"/>
                <w:szCs w:val="20"/>
              </w:rPr>
              <w:t>Ortografía y redacción</w:t>
            </w:r>
          </w:p>
        </w:tc>
        <w:tc>
          <w:tcPr>
            <w:tcW w:w="5670" w:type="dxa"/>
          </w:tcPr>
          <w:p w14:paraId="6B650163" w14:textId="7FBD0EC7" w:rsidR="00D85893" w:rsidRPr="00D85893" w:rsidRDefault="00D85893" w:rsidP="00D85893">
            <w:pPr>
              <w:jc w:val="both"/>
              <w:rPr>
                <w:rFonts w:ascii="Cambria" w:hAnsi="Cambria"/>
                <w:sz w:val="20"/>
                <w:szCs w:val="20"/>
              </w:rPr>
            </w:pPr>
            <w:r>
              <w:rPr>
                <w:rFonts w:ascii="Cambria" w:hAnsi="Cambria"/>
                <w:sz w:val="20"/>
                <w:szCs w:val="20"/>
              </w:rPr>
              <w:t>El mapa mental se encuentra bien escrito, sin errores ortográficos ni de redacción.</w:t>
            </w:r>
          </w:p>
        </w:tc>
        <w:tc>
          <w:tcPr>
            <w:tcW w:w="1036" w:type="dxa"/>
          </w:tcPr>
          <w:p w14:paraId="1CF31B0B" w14:textId="77777777" w:rsidR="00D85893" w:rsidRDefault="00D85893" w:rsidP="00D85893">
            <w:pPr>
              <w:jc w:val="both"/>
              <w:rPr>
                <w:rFonts w:ascii="Cambria" w:hAnsi="Cambria"/>
                <w:sz w:val="20"/>
                <w:szCs w:val="20"/>
              </w:rPr>
            </w:pPr>
          </w:p>
        </w:tc>
      </w:tr>
    </w:tbl>
    <w:p w14:paraId="5417EEDE" w14:textId="3533AAAB" w:rsidR="00D85893" w:rsidRDefault="00D85893" w:rsidP="00D85893">
      <w:pPr>
        <w:spacing w:after="0"/>
        <w:rPr>
          <w:rFonts w:ascii="Cambria" w:hAnsi="Cambria"/>
        </w:rPr>
      </w:pPr>
      <w:r>
        <w:rPr>
          <w:rFonts w:ascii="Cambria" w:hAnsi="Cambria"/>
        </w:rPr>
        <w:t>Niveles de desempeño:</w:t>
      </w:r>
    </w:p>
    <w:p w14:paraId="454704E0" w14:textId="2D55888B" w:rsidR="00D85893" w:rsidRDefault="00D85893" w:rsidP="00D85893">
      <w:pPr>
        <w:spacing w:after="0"/>
        <w:rPr>
          <w:rFonts w:ascii="Cambria" w:hAnsi="Cambria"/>
        </w:rPr>
      </w:pPr>
      <w:r>
        <w:rPr>
          <w:rFonts w:ascii="Cambria" w:hAnsi="Cambria"/>
        </w:rPr>
        <w:t>3 pts.: Cumple completamente el indicador.</w:t>
      </w:r>
    </w:p>
    <w:p w14:paraId="29277088" w14:textId="6ED89893" w:rsidR="00D85893" w:rsidRDefault="00D85893" w:rsidP="00D85893">
      <w:pPr>
        <w:spacing w:after="0"/>
        <w:rPr>
          <w:rFonts w:ascii="Cambria" w:hAnsi="Cambria"/>
        </w:rPr>
      </w:pPr>
      <w:r>
        <w:rPr>
          <w:rFonts w:ascii="Cambria" w:hAnsi="Cambria"/>
        </w:rPr>
        <w:t>2 pts.: Cumple parcialmente el indicador.</w:t>
      </w:r>
    </w:p>
    <w:p w14:paraId="7FC7CABA" w14:textId="69CE5D58" w:rsidR="00D85893" w:rsidRPr="00D85893" w:rsidRDefault="00D85893" w:rsidP="00D85893">
      <w:pPr>
        <w:spacing w:after="0"/>
        <w:rPr>
          <w:rFonts w:ascii="Cambria" w:hAnsi="Cambria"/>
        </w:rPr>
      </w:pPr>
      <w:r>
        <w:rPr>
          <w:rFonts w:ascii="Cambria" w:hAnsi="Cambria"/>
        </w:rPr>
        <w:t>1 pt.: No cumple el indicador</w:t>
      </w:r>
    </w:p>
    <w:sectPr w:rsidR="00D85893" w:rsidRPr="00D85893" w:rsidSect="00932E0F">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29035" w14:textId="77777777" w:rsidR="00F93EAF" w:rsidRDefault="00F93EAF" w:rsidP="00D85893">
      <w:pPr>
        <w:spacing w:after="0" w:line="240" w:lineRule="auto"/>
      </w:pPr>
      <w:r>
        <w:separator/>
      </w:r>
    </w:p>
  </w:endnote>
  <w:endnote w:type="continuationSeparator" w:id="0">
    <w:p w14:paraId="0FB4B4AE" w14:textId="77777777" w:rsidR="00F93EAF" w:rsidRDefault="00F93EAF" w:rsidP="00D8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D80C3" w14:textId="77777777" w:rsidR="00F93EAF" w:rsidRDefault="00F93EAF" w:rsidP="00D85893">
      <w:pPr>
        <w:spacing w:after="0" w:line="240" w:lineRule="auto"/>
      </w:pPr>
      <w:r>
        <w:separator/>
      </w:r>
    </w:p>
  </w:footnote>
  <w:footnote w:type="continuationSeparator" w:id="0">
    <w:p w14:paraId="62ACFD4F" w14:textId="77777777" w:rsidR="00F93EAF" w:rsidRDefault="00F93EAF" w:rsidP="00D85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6EF1" w14:textId="434B2ABD" w:rsidR="00D85893" w:rsidRDefault="00D85893">
    <w:pPr>
      <w:pStyle w:val="Encabezado"/>
    </w:pPr>
    <w:r>
      <w:rPr>
        <w:noProof/>
      </w:rPr>
      <mc:AlternateContent>
        <mc:Choice Requires="wps">
          <w:drawing>
            <wp:anchor distT="0" distB="0" distL="114300" distR="114300" simplePos="0" relativeHeight="251661312" behindDoc="0" locked="0" layoutInCell="1" allowOverlap="1" wp14:anchorId="35B36C41" wp14:editId="3C3CD098">
              <wp:simplePos x="0" y="0"/>
              <wp:positionH relativeFrom="column">
                <wp:posOffset>4200525</wp:posOffset>
              </wp:positionH>
              <wp:positionV relativeFrom="paragraph">
                <wp:posOffset>-158750</wp:posOffset>
              </wp:positionV>
              <wp:extent cx="1905000" cy="605790"/>
              <wp:effectExtent l="0" t="0" r="0" b="0"/>
              <wp:wrapNone/>
              <wp:docPr id="76088675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CCBC8FF" w14:textId="77777777" w:rsidR="00D85893" w:rsidRPr="00732B2B" w:rsidRDefault="00D85893" w:rsidP="00D8589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0EA96C2" w14:textId="77777777" w:rsidR="00D85893" w:rsidRPr="00732B2B" w:rsidRDefault="00D85893" w:rsidP="00D8589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2A66C30" w14:textId="77777777" w:rsidR="00D85893" w:rsidRPr="00732B2B" w:rsidRDefault="00D85893" w:rsidP="00D8589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5B36C41" id="_x0000_t202" coordsize="21600,21600" o:spt="202" path="m,l,21600r21600,l21600,xe">
              <v:stroke joinstyle="miter"/>
              <v:path gradientshapeok="t" o:connecttype="rect"/>
            </v:shapetype>
            <v:shape id="Cuadro de texto 7" o:spid="_x0000_s1026" type="#_x0000_t202" style="position:absolute;margin-left:330.75pt;margin-top:-1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" filled="f" stroked="f">
              <v:textbox style="mso-fit-shape-to-text:t">
                <w:txbxContent>
                  <w:p w14:paraId="1CCBC8FF" w14:textId="77777777" w:rsidR="00D85893" w:rsidRPr="00732B2B" w:rsidRDefault="00D85893" w:rsidP="00D8589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0EA96C2" w14:textId="77777777" w:rsidR="00D85893" w:rsidRPr="00732B2B" w:rsidRDefault="00D85893" w:rsidP="00D8589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2A66C30" w14:textId="77777777" w:rsidR="00D85893" w:rsidRPr="00732B2B" w:rsidRDefault="00D85893" w:rsidP="00D8589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7979D4F" wp14:editId="043E1848">
              <wp:simplePos x="0" y="0"/>
              <wp:positionH relativeFrom="column">
                <wp:posOffset>-561975</wp:posOffset>
              </wp:positionH>
              <wp:positionV relativeFrom="paragraph">
                <wp:posOffset>-229235</wp:posOffset>
              </wp:positionV>
              <wp:extent cx="2040890" cy="676275"/>
              <wp:effectExtent l="0" t="0" r="0" b="0"/>
              <wp:wrapNone/>
              <wp:docPr id="137231121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C68D373" w14:textId="77777777" w:rsidR="00D85893" w:rsidRDefault="00D85893" w:rsidP="00D8589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C84A23E" w14:textId="77777777" w:rsidR="00D85893" w:rsidRDefault="00D85893" w:rsidP="00D8589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750F899" w14:textId="77777777" w:rsidR="00D85893" w:rsidRDefault="00D85893" w:rsidP="00D8589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D6C1350" wp14:editId="162DBBCE">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979D4F" id="Cuadro de texto 5" o:spid="_x0000_s1027" type="#_x0000_t202" style="position:absolute;margin-left:-44.25pt;margin-top:-18.0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" filled="f" stroked="f">
              <v:textbox inset="0,0,0,0">
                <w:txbxContent>
                  <w:p w14:paraId="2C68D373" w14:textId="77777777" w:rsidR="00D85893" w:rsidRDefault="00D85893" w:rsidP="00D8589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C84A23E" w14:textId="77777777" w:rsidR="00D85893" w:rsidRDefault="00D85893" w:rsidP="00D8589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750F899" w14:textId="77777777" w:rsidR="00D85893" w:rsidRDefault="00D85893" w:rsidP="00D8589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D6C1350" wp14:editId="162DBBCE">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C45F59"/>
    <w:multiLevelType w:val="hybridMultilevel"/>
    <w:tmpl w:val="C4B03AC0"/>
    <w:lvl w:ilvl="0" w:tplc="1AF0B1A0">
      <w:start w:val="1"/>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426225376">
    <w:abstractNumId w:val="0"/>
  </w:num>
  <w:num w:numId="2" w16cid:durableId="130299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0F"/>
    <w:rsid w:val="00016176"/>
    <w:rsid w:val="000B65B1"/>
    <w:rsid w:val="00171F31"/>
    <w:rsid w:val="00365FDD"/>
    <w:rsid w:val="004B6D70"/>
    <w:rsid w:val="005206A2"/>
    <w:rsid w:val="005C76B6"/>
    <w:rsid w:val="007328DD"/>
    <w:rsid w:val="00932E0F"/>
    <w:rsid w:val="00A970F6"/>
    <w:rsid w:val="00B95499"/>
    <w:rsid w:val="00CA5462"/>
    <w:rsid w:val="00D85893"/>
    <w:rsid w:val="00ED766A"/>
    <w:rsid w:val="00F4098D"/>
    <w:rsid w:val="00F9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7212C"/>
  <w15:chartTrackingRefBased/>
  <w15:docId w15:val="{66689AC4-4470-4D59-BF63-81F58735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932E0F"/>
    <w:rPr>
      <w:kern w:val="0"/>
      <w:lang w:val="es-CL"/>
    </w:rPr>
  </w:style>
  <w:style w:type="paragraph" w:styleId="Ttulo1">
    <w:name w:val="heading 1"/>
    <w:basedOn w:val="Normal"/>
    <w:next w:val="Normal"/>
    <w:link w:val="Ttulo1Car"/>
    <w:uiPriority w:val="9"/>
    <w:qFormat/>
    <w:rsid w:val="00932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2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2E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2E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2E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2E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2E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2E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2E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2E0F"/>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932E0F"/>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932E0F"/>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932E0F"/>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932E0F"/>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932E0F"/>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932E0F"/>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932E0F"/>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932E0F"/>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932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2E0F"/>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32E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2E0F"/>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932E0F"/>
    <w:pPr>
      <w:spacing w:before="160"/>
      <w:jc w:val="center"/>
    </w:pPr>
    <w:rPr>
      <w:i/>
      <w:iCs/>
      <w:color w:val="404040" w:themeColor="text1" w:themeTint="BF"/>
    </w:rPr>
  </w:style>
  <w:style w:type="character" w:customStyle="1" w:styleId="CitaCar">
    <w:name w:val="Cita Car"/>
    <w:basedOn w:val="Fuentedeprrafopredeter"/>
    <w:link w:val="Cita"/>
    <w:uiPriority w:val="29"/>
    <w:rsid w:val="00932E0F"/>
    <w:rPr>
      <w:rFonts w:ascii="Cambria" w:hAnsi="Cambria"/>
      <w:i/>
      <w:iCs/>
      <w:color w:val="404040" w:themeColor="text1" w:themeTint="BF"/>
      <w:kern w:val="0"/>
      <w:lang w:val="es-CL"/>
    </w:rPr>
  </w:style>
  <w:style w:type="paragraph" w:styleId="Prrafodelista">
    <w:name w:val="List Paragraph"/>
    <w:basedOn w:val="Normal"/>
    <w:uiPriority w:val="34"/>
    <w:qFormat/>
    <w:rsid w:val="00932E0F"/>
    <w:pPr>
      <w:ind w:left="720"/>
      <w:contextualSpacing/>
    </w:pPr>
  </w:style>
  <w:style w:type="character" w:styleId="nfasisintenso">
    <w:name w:val="Intense Emphasis"/>
    <w:basedOn w:val="Fuentedeprrafopredeter"/>
    <w:uiPriority w:val="21"/>
    <w:qFormat/>
    <w:rsid w:val="00932E0F"/>
    <w:rPr>
      <w:i/>
      <w:iCs/>
      <w:color w:val="0F4761" w:themeColor="accent1" w:themeShade="BF"/>
    </w:rPr>
  </w:style>
  <w:style w:type="paragraph" w:styleId="Citadestacada">
    <w:name w:val="Intense Quote"/>
    <w:basedOn w:val="Normal"/>
    <w:next w:val="Normal"/>
    <w:link w:val="CitadestacadaCar"/>
    <w:uiPriority w:val="30"/>
    <w:qFormat/>
    <w:rsid w:val="00932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2E0F"/>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932E0F"/>
    <w:rPr>
      <w:b/>
      <w:bCs/>
      <w:smallCaps/>
      <w:color w:val="0F4761" w:themeColor="accent1" w:themeShade="BF"/>
      <w:spacing w:val="5"/>
    </w:rPr>
  </w:style>
  <w:style w:type="table" w:styleId="Tablaconcuadrcula">
    <w:name w:val="Table Grid"/>
    <w:basedOn w:val="Tablanormal"/>
    <w:uiPriority w:val="39"/>
    <w:rsid w:val="00932E0F"/>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5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5893"/>
    <w:rPr>
      <w:kern w:val="0"/>
      <w:lang w:val="es-CL"/>
    </w:rPr>
  </w:style>
  <w:style w:type="paragraph" w:styleId="Piedepgina">
    <w:name w:val="footer"/>
    <w:basedOn w:val="Normal"/>
    <w:link w:val="PiedepginaCar"/>
    <w:uiPriority w:val="99"/>
    <w:unhideWhenUsed/>
    <w:rsid w:val="00D85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5893"/>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2024-10-09T15:18:00Z</cp:lastPrinted>
  <dcterms:created xsi:type="dcterms:W3CDTF">2024-10-09T15:18:00Z</dcterms:created>
  <dcterms:modified xsi:type="dcterms:W3CDTF">2024-10-09T15:18:00Z</dcterms:modified>
</cp:coreProperties>
</file>