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5AECB" w14:textId="19865D58" w:rsidR="004A0FD6" w:rsidRDefault="004A0FD6" w:rsidP="004A0FD6">
      <w:pPr>
        <w:spacing w:after="0"/>
        <w:jc w:val="center"/>
        <w:rPr>
          <w:rFonts w:ascii="Cambria" w:hAnsi="Cambria"/>
          <w:b/>
          <w:bCs/>
          <w:sz w:val="24"/>
          <w:szCs w:val="24"/>
          <w:u w:val="single"/>
        </w:rPr>
      </w:pPr>
      <w:r>
        <w:rPr>
          <w:rFonts w:ascii="Cambria" w:hAnsi="Cambria"/>
          <w:b/>
          <w:bCs/>
          <w:sz w:val="24"/>
          <w:szCs w:val="24"/>
          <w:u w:val="single"/>
        </w:rPr>
        <w:t>TALLER 1</w:t>
      </w:r>
    </w:p>
    <w:p w14:paraId="084F6602" w14:textId="77777777" w:rsidR="004A0FD6" w:rsidRDefault="004A0FD6" w:rsidP="004A0FD6">
      <w:pPr>
        <w:jc w:val="center"/>
        <w:rPr>
          <w:rFonts w:ascii="Cambria" w:hAnsi="Cambria"/>
          <w:b/>
          <w:bCs/>
          <w:sz w:val="24"/>
          <w:szCs w:val="24"/>
          <w:u w:val="single"/>
        </w:rPr>
      </w:pPr>
      <w:r>
        <w:rPr>
          <w:rFonts w:ascii="Cambria" w:hAnsi="Cambria"/>
          <w:b/>
          <w:bCs/>
          <w:sz w:val="24"/>
          <w:szCs w:val="24"/>
          <w:u w:val="single"/>
        </w:rPr>
        <w:t>BIEN COMÚN, COHESIÓN Y JUSTICIA SOCIAL</w:t>
      </w:r>
    </w:p>
    <w:tbl>
      <w:tblPr>
        <w:tblStyle w:val="Tablaconcuadrcula"/>
        <w:tblW w:w="0" w:type="auto"/>
        <w:tblLook w:val="04A0" w:firstRow="1" w:lastRow="0" w:firstColumn="1" w:lastColumn="0" w:noHBand="0" w:noVBand="1"/>
      </w:tblPr>
      <w:tblGrid>
        <w:gridCol w:w="1099"/>
        <w:gridCol w:w="7729"/>
      </w:tblGrid>
      <w:tr w:rsidR="004A0FD6" w14:paraId="114C42B0" w14:textId="77777777" w:rsidTr="004A0FD6">
        <w:tc>
          <w:tcPr>
            <w:tcW w:w="1101" w:type="dxa"/>
          </w:tcPr>
          <w:p w14:paraId="1AA763EF" w14:textId="60DD770E" w:rsidR="004A0FD6" w:rsidRDefault="004A0FD6" w:rsidP="004A0FD6">
            <w:pPr>
              <w:jc w:val="both"/>
              <w:rPr>
                <w:rFonts w:ascii="Cambria" w:hAnsi="Cambria"/>
              </w:rPr>
            </w:pPr>
            <w:r>
              <w:rPr>
                <w:rFonts w:ascii="Cambria" w:hAnsi="Cambria"/>
              </w:rPr>
              <w:t>Nombre</w:t>
            </w:r>
          </w:p>
        </w:tc>
        <w:tc>
          <w:tcPr>
            <w:tcW w:w="7877" w:type="dxa"/>
          </w:tcPr>
          <w:p w14:paraId="22B19274" w14:textId="77777777" w:rsidR="004A0FD6" w:rsidRDefault="004A0FD6" w:rsidP="004A0FD6">
            <w:pPr>
              <w:jc w:val="center"/>
              <w:rPr>
                <w:rFonts w:ascii="Cambria" w:hAnsi="Cambria"/>
              </w:rPr>
            </w:pPr>
          </w:p>
        </w:tc>
      </w:tr>
      <w:tr w:rsidR="004A0FD6" w14:paraId="2419E895" w14:textId="77777777" w:rsidTr="004A0FD6">
        <w:tc>
          <w:tcPr>
            <w:tcW w:w="1101" w:type="dxa"/>
          </w:tcPr>
          <w:p w14:paraId="35A7058C" w14:textId="0EB93A1F" w:rsidR="004A0FD6" w:rsidRDefault="004A0FD6" w:rsidP="004A0FD6">
            <w:pPr>
              <w:jc w:val="both"/>
              <w:rPr>
                <w:rFonts w:ascii="Cambria" w:hAnsi="Cambria"/>
              </w:rPr>
            </w:pPr>
            <w:r>
              <w:rPr>
                <w:rFonts w:ascii="Cambria" w:hAnsi="Cambria"/>
              </w:rPr>
              <w:t>Fecha</w:t>
            </w:r>
          </w:p>
        </w:tc>
        <w:tc>
          <w:tcPr>
            <w:tcW w:w="7877" w:type="dxa"/>
          </w:tcPr>
          <w:p w14:paraId="638C9AC2" w14:textId="03F2EE77" w:rsidR="004A0FD6" w:rsidRDefault="004A0FD6" w:rsidP="004A0FD6">
            <w:pPr>
              <w:jc w:val="both"/>
              <w:rPr>
                <w:rFonts w:ascii="Cambria" w:hAnsi="Cambria"/>
              </w:rPr>
            </w:pPr>
            <w:r>
              <w:rPr>
                <w:rFonts w:ascii="Cambria" w:hAnsi="Cambria"/>
              </w:rPr>
              <w:t>11-03-2025</w:t>
            </w:r>
          </w:p>
        </w:tc>
      </w:tr>
    </w:tbl>
    <w:p w14:paraId="639A79B5" w14:textId="77777777" w:rsidR="004A0FD6" w:rsidRDefault="004A0FD6" w:rsidP="004A0FD6">
      <w:pPr>
        <w:jc w:val="both"/>
        <w:rPr>
          <w:rFonts w:ascii="Cambria" w:hAnsi="Cambria"/>
          <w:b/>
          <w:bCs/>
        </w:rPr>
      </w:pPr>
      <w:r>
        <w:rPr>
          <w:rFonts w:ascii="Cambria" w:hAnsi="Cambria"/>
          <w:b/>
          <w:bCs/>
        </w:rPr>
        <w:t>Objetivo: Explicar los conceptos de bien común, cohesión y justicia social a través de fuentes para valorar la vida en democracia</w:t>
      </w:r>
    </w:p>
    <w:p w14:paraId="383BFC28" w14:textId="77777777" w:rsidR="004A0FD6" w:rsidRDefault="004A0FD6" w:rsidP="004A0FD6">
      <w:pPr>
        <w:spacing w:after="0"/>
        <w:jc w:val="both"/>
        <w:rPr>
          <w:rFonts w:ascii="Cambria" w:hAnsi="Cambria"/>
          <w:b/>
          <w:bCs/>
        </w:rPr>
      </w:pPr>
      <w:r>
        <w:rPr>
          <w:rFonts w:ascii="Cambria" w:hAnsi="Cambria"/>
          <w:b/>
          <w:bCs/>
        </w:rPr>
        <w:t>Instrucciones:</w:t>
      </w:r>
    </w:p>
    <w:p w14:paraId="7045577B" w14:textId="77777777" w:rsidR="004A0FD6" w:rsidRPr="00BA3683" w:rsidRDefault="004A0FD6" w:rsidP="004A0FD6">
      <w:pPr>
        <w:pStyle w:val="Prrafodelista"/>
        <w:numPr>
          <w:ilvl w:val="0"/>
          <w:numId w:val="1"/>
        </w:numPr>
        <w:spacing w:after="0"/>
        <w:jc w:val="both"/>
        <w:rPr>
          <w:rFonts w:ascii="Cambria" w:hAnsi="Cambria"/>
          <w:b/>
          <w:bCs/>
        </w:rPr>
      </w:pPr>
      <w:r w:rsidRPr="00E1748D">
        <w:rPr>
          <w:rFonts w:ascii="Cambria" w:hAnsi="Cambria"/>
        </w:rPr>
        <w:t>Lee las fuentes que se presentan y realiza las actividades</w:t>
      </w:r>
    </w:p>
    <w:p w14:paraId="0EC22910" w14:textId="1CE8E587" w:rsidR="004A0FD6" w:rsidRPr="004A0FD6" w:rsidRDefault="004A0FD6" w:rsidP="004A0FD6">
      <w:pPr>
        <w:pStyle w:val="Prrafodelista"/>
        <w:numPr>
          <w:ilvl w:val="0"/>
          <w:numId w:val="2"/>
        </w:numPr>
        <w:spacing w:after="0"/>
        <w:jc w:val="both"/>
        <w:rPr>
          <w:rFonts w:ascii="Cambria" w:hAnsi="Cambria"/>
          <w:b/>
          <w:bCs/>
        </w:rPr>
      </w:pPr>
      <w:r>
        <w:rPr>
          <w:rFonts w:ascii="Cambria" w:hAnsi="Cambria"/>
        </w:rPr>
        <w:t>A partir de las fuentes define y compara los conceptos completando la siguiente tabla</w:t>
      </w:r>
    </w:p>
    <w:tbl>
      <w:tblPr>
        <w:tblStyle w:val="Tablaconcuadrcula"/>
        <w:tblW w:w="0" w:type="auto"/>
        <w:tblInd w:w="720" w:type="dxa"/>
        <w:tblLook w:val="04A0" w:firstRow="1" w:lastRow="0" w:firstColumn="1" w:lastColumn="0" w:noHBand="0" w:noVBand="1"/>
      </w:tblPr>
      <w:tblGrid>
        <w:gridCol w:w="2068"/>
        <w:gridCol w:w="2032"/>
        <w:gridCol w:w="2005"/>
        <w:gridCol w:w="2003"/>
      </w:tblGrid>
      <w:tr w:rsidR="004A0FD6" w:rsidRPr="004A0FD6" w14:paraId="432B710F" w14:textId="77777777" w:rsidTr="004A0FD6">
        <w:tc>
          <w:tcPr>
            <w:tcW w:w="2244" w:type="dxa"/>
          </w:tcPr>
          <w:p w14:paraId="2F351593" w14:textId="77777777" w:rsidR="004A0FD6" w:rsidRPr="004A0FD6" w:rsidRDefault="004A0FD6" w:rsidP="004A0FD6">
            <w:pPr>
              <w:jc w:val="both"/>
              <w:rPr>
                <w:rFonts w:ascii="Cambria" w:hAnsi="Cambria"/>
                <w:sz w:val="20"/>
                <w:szCs w:val="20"/>
              </w:rPr>
            </w:pPr>
          </w:p>
        </w:tc>
        <w:tc>
          <w:tcPr>
            <w:tcW w:w="2244" w:type="dxa"/>
          </w:tcPr>
          <w:p w14:paraId="22896878" w14:textId="15A7552C" w:rsidR="004A0FD6" w:rsidRPr="004A0FD6" w:rsidRDefault="004A0FD6" w:rsidP="004A0FD6">
            <w:pPr>
              <w:jc w:val="both"/>
              <w:rPr>
                <w:rFonts w:ascii="Cambria" w:hAnsi="Cambria"/>
                <w:sz w:val="20"/>
                <w:szCs w:val="20"/>
              </w:rPr>
            </w:pPr>
            <w:r w:rsidRPr="004A0FD6">
              <w:rPr>
                <w:rFonts w:ascii="Cambria" w:hAnsi="Cambria"/>
                <w:sz w:val="20"/>
                <w:szCs w:val="20"/>
              </w:rPr>
              <w:t>Cohesión social</w:t>
            </w:r>
          </w:p>
        </w:tc>
        <w:tc>
          <w:tcPr>
            <w:tcW w:w="2245" w:type="dxa"/>
          </w:tcPr>
          <w:p w14:paraId="0C7982B0" w14:textId="0CD0D0ED" w:rsidR="004A0FD6" w:rsidRPr="004A0FD6" w:rsidRDefault="004A0FD6" w:rsidP="004A0FD6">
            <w:pPr>
              <w:jc w:val="both"/>
              <w:rPr>
                <w:rFonts w:ascii="Cambria" w:hAnsi="Cambria"/>
                <w:sz w:val="20"/>
                <w:szCs w:val="20"/>
              </w:rPr>
            </w:pPr>
            <w:r w:rsidRPr="004A0FD6">
              <w:rPr>
                <w:rFonts w:ascii="Cambria" w:hAnsi="Cambria"/>
                <w:sz w:val="20"/>
                <w:szCs w:val="20"/>
              </w:rPr>
              <w:t>Justicia social</w:t>
            </w:r>
          </w:p>
        </w:tc>
        <w:tc>
          <w:tcPr>
            <w:tcW w:w="2245" w:type="dxa"/>
          </w:tcPr>
          <w:p w14:paraId="2C974B2B" w14:textId="413034A6" w:rsidR="004A0FD6" w:rsidRPr="004A0FD6" w:rsidRDefault="004A0FD6" w:rsidP="004A0FD6">
            <w:pPr>
              <w:jc w:val="both"/>
              <w:rPr>
                <w:rFonts w:ascii="Cambria" w:hAnsi="Cambria"/>
                <w:sz w:val="20"/>
                <w:szCs w:val="20"/>
              </w:rPr>
            </w:pPr>
            <w:r w:rsidRPr="004A0FD6">
              <w:rPr>
                <w:rFonts w:ascii="Cambria" w:hAnsi="Cambria"/>
                <w:sz w:val="20"/>
                <w:szCs w:val="20"/>
              </w:rPr>
              <w:t>Bien Común</w:t>
            </w:r>
          </w:p>
        </w:tc>
      </w:tr>
      <w:tr w:rsidR="004A0FD6" w:rsidRPr="004A0FD6" w14:paraId="15B006E6" w14:textId="77777777" w:rsidTr="004A0FD6">
        <w:tc>
          <w:tcPr>
            <w:tcW w:w="2244" w:type="dxa"/>
          </w:tcPr>
          <w:p w14:paraId="749D2E61" w14:textId="15CBF129" w:rsidR="004A0FD6" w:rsidRPr="004A0FD6" w:rsidRDefault="004A0FD6" w:rsidP="004A0FD6">
            <w:pPr>
              <w:jc w:val="both"/>
              <w:rPr>
                <w:rFonts w:ascii="Cambria" w:hAnsi="Cambria"/>
                <w:sz w:val="20"/>
                <w:szCs w:val="20"/>
              </w:rPr>
            </w:pPr>
            <w:r w:rsidRPr="004A0FD6">
              <w:rPr>
                <w:rFonts w:ascii="Cambria" w:hAnsi="Cambria"/>
                <w:sz w:val="20"/>
                <w:szCs w:val="20"/>
              </w:rPr>
              <w:t>Definición</w:t>
            </w:r>
          </w:p>
        </w:tc>
        <w:tc>
          <w:tcPr>
            <w:tcW w:w="2244" w:type="dxa"/>
          </w:tcPr>
          <w:p w14:paraId="4D092896" w14:textId="77777777" w:rsidR="004A0FD6" w:rsidRPr="004A0FD6" w:rsidRDefault="004A0FD6" w:rsidP="004A0FD6">
            <w:pPr>
              <w:jc w:val="both"/>
              <w:rPr>
                <w:rFonts w:ascii="Cambria" w:hAnsi="Cambria"/>
                <w:sz w:val="20"/>
                <w:szCs w:val="20"/>
              </w:rPr>
            </w:pPr>
          </w:p>
        </w:tc>
        <w:tc>
          <w:tcPr>
            <w:tcW w:w="2245" w:type="dxa"/>
          </w:tcPr>
          <w:p w14:paraId="7366EB50" w14:textId="77777777" w:rsidR="004A0FD6" w:rsidRPr="004A0FD6" w:rsidRDefault="004A0FD6" w:rsidP="004A0FD6">
            <w:pPr>
              <w:jc w:val="both"/>
              <w:rPr>
                <w:rFonts w:ascii="Cambria" w:hAnsi="Cambria"/>
                <w:sz w:val="20"/>
                <w:szCs w:val="20"/>
              </w:rPr>
            </w:pPr>
          </w:p>
        </w:tc>
        <w:tc>
          <w:tcPr>
            <w:tcW w:w="2245" w:type="dxa"/>
          </w:tcPr>
          <w:p w14:paraId="4E5E60AF" w14:textId="77777777" w:rsidR="004A0FD6" w:rsidRPr="004A0FD6" w:rsidRDefault="004A0FD6" w:rsidP="004A0FD6">
            <w:pPr>
              <w:jc w:val="both"/>
              <w:rPr>
                <w:rFonts w:ascii="Cambria" w:hAnsi="Cambria"/>
                <w:sz w:val="20"/>
                <w:szCs w:val="20"/>
              </w:rPr>
            </w:pPr>
          </w:p>
        </w:tc>
      </w:tr>
      <w:tr w:rsidR="004A0FD6" w:rsidRPr="004A0FD6" w14:paraId="0BEA19D1" w14:textId="77777777" w:rsidTr="004A0FD6">
        <w:tc>
          <w:tcPr>
            <w:tcW w:w="2244" w:type="dxa"/>
          </w:tcPr>
          <w:p w14:paraId="1D05598F" w14:textId="1BB960AB" w:rsidR="004A0FD6" w:rsidRPr="004A0FD6" w:rsidRDefault="004A0FD6" w:rsidP="004A0FD6">
            <w:pPr>
              <w:jc w:val="both"/>
              <w:rPr>
                <w:rFonts w:ascii="Cambria" w:hAnsi="Cambria"/>
                <w:sz w:val="20"/>
                <w:szCs w:val="20"/>
              </w:rPr>
            </w:pPr>
            <w:r w:rsidRPr="004A0FD6">
              <w:rPr>
                <w:rFonts w:ascii="Cambria" w:hAnsi="Cambria"/>
                <w:sz w:val="20"/>
                <w:szCs w:val="20"/>
              </w:rPr>
              <w:t>Similitudes</w:t>
            </w:r>
          </w:p>
        </w:tc>
        <w:tc>
          <w:tcPr>
            <w:tcW w:w="2244" w:type="dxa"/>
          </w:tcPr>
          <w:p w14:paraId="714978AC" w14:textId="77777777" w:rsidR="004A0FD6" w:rsidRPr="004A0FD6" w:rsidRDefault="004A0FD6" w:rsidP="004A0FD6">
            <w:pPr>
              <w:jc w:val="both"/>
              <w:rPr>
                <w:rFonts w:ascii="Cambria" w:hAnsi="Cambria"/>
                <w:sz w:val="20"/>
                <w:szCs w:val="20"/>
              </w:rPr>
            </w:pPr>
          </w:p>
        </w:tc>
        <w:tc>
          <w:tcPr>
            <w:tcW w:w="2245" w:type="dxa"/>
          </w:tcPr>
          <w:p w14:paraId="2AA74164" w14:textId="77777777" w:rsidR="004A0FD6" w:rsidRPr="004A0FD6" w:rsidRDefault="004A0FD6" w:rsidP="004A0FD6">
            <w:pPr>
              <w:jc w:val="both"/>
              <w:rPr>
                <w:rFonts w:ascii="Cambria" w:hAnsi="Cambria"/>
                <w:sz w:val="20"/>
                <w:szCs w:val="20"/>
              </w:rPr>
            </w:pPr>
          </w:p>
        </w:tc>
        <w:tc>
          <w:tcPr>
            <w:tcW w:w="2245" w:type="dxa"/>
          </w:tcPr>
          <w:p w14:paraId="6D846A2C" w14:textId="77777777" w:rsidR="004A0FD6" w:rsidRPr="004A0FD6" w:rsidRDefault="004A0FD6" w:rsidP="004A0FD6">
            <w:pPr>
              <w:jc w:val="both"/>
              <w:rPr>
                <w:rFonts w:ascii="Cambria" w:hAnsi="Cambria"/>
                <w:sz w:val="20"/>
                <w:szCs w:val="20"/>
              </w:rPr>
            </w:pPr>
          </w:p>
        </w:tc>
      </w:tr>
      <w:tr w:rsidR="004A0FD6" w:rsidRPr="004A0FD6" w14:paraId="7033D3A5" w14:textId="77777777" w:rsidTr="004A0FD6">
        <w:tc>
          <w:tcPr>
            <w:tcW w:w="2244" w:type="dxa"/>
          </w:tcPr>
          <w:p w14:paraId="2EED15E8" w14:textId="7CF31CB1" w:rsidR="004A0FD6" w:rsidRPr="004A0FD6" w:rsidRDefault="004A0FD6" w:rsidP="004A0FD6">
            <w:pPr>
              <w:jc w:val="both"/>
              <w:rPr>
                <w:rFonts w:ascii="Cambria" w:hAnsi="Cambria"/>
                <w:sz w:val="20"/>
                <w:szCs w:val="20"/>
              </w:rPr>
            </w:pPr>
            <w:r w:rsidRPr="004A0FD6">
              <w:rPr>
                <w:rFonts w:ascii="Cambria" w:hAnsi="Cambria"/>
                <w:sz w:val="20"/>
                <w:szCs w:val="20"/>
              </w:rPr>
              <w:t>Diferencias</w:t>
            </w:r>
          </w:p>
        </w:tc>
        <w:tc>
          <w:tcPr>
            <w:tcW w:w="2244" w:type="dxa"/>
          </w:tcPr>
          <w:p w14:paraId="586E3AD9" w14:textId="77777777" w:rsidR="004A0FD6" w:rsidRPr="004A0FD6" w:rsidRDefault="004A0FD6" w:rsidP="004A0FD6">
            <w:pPr>
              <w:jc w:val="both"/>
              <w:rPr>
                <w:rFonts w:ascii="Cambria" w:hAnsi="Cambria"/>
                <w:sz w:val="20"/>
                <w:szCs w:val="20"/>
              </w:rPr>
            </w:pPr>
          </w:p>
        </w:tc>
        <w:tc>
          <w:tcPr>
            <w:tcW w:w="2245" w:type="dxa"/>
          </w:tcPr>
          <w:p w14:paraId="17D4814F" w14:textId="77777777" w:rsidR="004A0FD6" w:rsidRPr="004A0FD6" w:rsidRDefault="004A0FD6" w:rsidP="004A0FD6">
            <w:pPr>
              <w:jc w:val="both"/>
              <w:rPr>
                <w:rFonts w:ascii="Cambria" w:hAnsi="Cambria"/>
                <w:sz w:val="20"/>
                <w:szCs w:val="20"/>
              </w:rPr>
            </w:pPr>
          </w:p>
        </w:tc>
        <w:tc>
          <w:tcPr>
            <w:tcW w:w="2245" w:type="dxa"/>
          </w:tcPr>
          <w:p w14:paraId="4E716B72" w14:textId="77777777" w:rsidR="004A0FD6" w:rsidRPr="004A0FD6" w:rsidRDefault="004A0FD6" w:rsidP="004A0FD6">
            <w:pPr>
              <w:jc w:val="both"/>
              <w:rPr>
                <w:rFonts w:ascii="Cambria" w:hAnsi="Cambria"/>
                <w:sz w:val="20"/>
                <w:szCs w:val="20"/>
              </w:rPr>
            </w:pPr>
          </w:p>
        </w:tc>
      </w:tr>
      <w:tr w:rsidR="004A0FD6" w:rsidRPr="004A0FD6" w14:paraId="562FB570" w14:textId="77777777" w:rsidTr="004A0FD6">
        <w:tc>
          <w:tcPr>
            <w:tcW w:w="2244" w:type="dxa"/>
          </w:tcPr>
          <w:p w14:paraId="70B9E26F" w14:textId="56A05CF7" w:rsidR="004A0FD6" w:rsidRPr="004A0FD6" w:rsidRDefault="004A0FD6" w:rsidP="004A0FD6">
            <w:pPr>
              <w:jc w:val="both"/>
              <w:rPr>
                <w:rFonts w:ascii="Cambria" w:hAnsi="Cambria"/>
                <w:sz w:val="20"/>
                <w:szCs w:val="20"/>
              </w:rPr>
            </w:pPr>
            <w:r w:rsidRPr="004A0FD6">
              <w:rPr>
                <w:rFonts w:ascii="Cambria" w:hAnsi="Cambria"/>
                <w:sz w:val="20"/>
                <w:szCs w:val="20"/>
              </w:rPr>
              <w:t>Relación con la democracia</w:t>
            </w:r>
          </w:p>
        </w:tc>
        <w:tc>
          <w:tcPr>
            <w:tcW w:w="2244" w:type="dxa"/>
          </w:tcPr>
          <w:p w14:paraId="2630A441" w14:textId="77777777" w:rsidR="004A0FD6" w:rsidRPr="004A0FD6" w:rsidRDefault="004A0FD6" w:rsidP="004A0FD6">
            <w:pPr>
              <w:jc w:val="both"/>
              <w:rPr>
                <w:rFonts w:ascii="Cambria" w:hAnsi="Cambria"/>
                <w:sz w:val="20"/>
                <w:szCs w:val="20"/>
              </w:rPr>
            </w:pPr>
          </w:p>
        </w:tc>
        <w:tc>
          <w:tcPr>
            <w:tcW w:w="2245" w:type="dxa"/>
          </w:tcPr>
          <w:p w14:paraId="331A1114" w14:textId="77777777" w:rsidR="004A0FD6" w:rsidRPr="004A0FD6" w:rsidRDefault="004A0FD6" w:rsidP="004A0FD6">
            <w:pPr>
              <w:jc w:val="both"/>
              <w:rPr>
                <w:rFonts w:ascii="Cambria" w:hAnsi="Cambria"/>
                <w:sz w:val="20"/>
                <w:szCs w:val="20"/>
              </w:rPr>
            </w:pPr>
          </w:p>
        </w:tc>
        <w:tc>
          <w:tcPr>
            <w:tcW w:w="2245" w:type="dxa"/>
          </w:tcPr>
          <w:p w14:paraId="0A0E0057" w14:textId="77777777" w:rsidR="004A0FD6" w:rsidRPr="004A0FD6" w:rsidRDefault="004A0FD6" w:rsidP="004A0FD6">
            <w:pPr>
              <w:jc w:val="both"/>
              <w:rPr>
                <w:rFonts w:ascii="Cambria" w:hAnsi="Cambria"/>
                <w:sz w:val="20"/>
                <w:szCs w:val="20"/>
              </w:rPr>
            </w:pPr>
          </w:p>
        </w:tc>
      </w:tr>
    </w:tbl>
    <w:p w14:paraId="34FF4652" w14:textId="0FF9A4EA" w:rsidR="004A0FD6" w:rsidRPr="004A0FD6" w:rsidRDefault="004A0FD6" w:rsidP="004A0FD6">
      <w:pPr>
        <w:pStyle w:val="Prrafodelista"/>
        <w:numPr>
          <w:ilvl w:val="0"/>
          <w:numId w:val="2"/>
        </w:numPr>
        <w:spacing w:after="0"/>
        <w:jc w:val="both"/>
        <w:rPr>
          <w:rFonts w:ascii="Cambria" w:hAnsi="Cambria"/>
          <w:b/>
          <w:bCs/>
        </w:rPr>
      </w:pPr>
      <w:r w:rsidRPr="004A0FD6">
        <w:rPr>
          <w:rFonts w:ascii="Cambria" w:hAnsi="Cambria"/>
        </w:rPr>
        <w:t>A tu juicio ¿qué aspectos favorecen y cuales dificultan el logro del bien común, la cohesión social y la justicia social? Argumenta y ejemplifica</w:t>
      </w:r>
    </w:p>
    <w:p w14:paraId="40399992" w14:textId="77777777" w:rsidR="004A0FD6" w:rsidRPr="00BA3683" w:rsidRDefault="004A0FD6" w:rsidP="004A0FD6">
      <w:pPr>
        <w:pStyle w:val="Prrafodelista"/>
        <w:numPr>
          <w:ilvl w:val="0"/>
          <w:numId w:val="2"/>
        </w:numPr>
        <w:spacing w:after="0"/>
        <w:jc w:val="both"/>
        <w:rPr>
          <w:rFonts w:ascii="Cambria" w:hAnsi="Cambria"/>
          <w:b/>
          <w:bCs/>
        </w:rPr>
      </w:pPr>
      <w:r>
        <w:rPr>
          <w:rFonts w:ascii="Cambria" w:hAnsi="Cambria"/>
        </w:rPr>
        <w:t>¿Cómo puedes encontrar el bien común, la justicia social y la cohesión social en el establecimiento?</w:t>
      </w:r>
    </w:p>
    <w:p w14:paraId="5E91B1DA" w14:textId="3BCBD990" w:rsidR="004A0FD6" w:rsidRPr="004A0FD6" w:rsidRDefault="004A0FD6" w:rsidP="004A0FD6">
      <w:pPr>
        <w:pStyle w:val="Prrafodelista"/>
        <w:numPr>
          <w:ilvl w:val="0"/>
          <w:numId w:val="2"/>
        </w:numPr>
        <w:spacing w:after="0"/>
        <w:jc w:val="both"/>
        <w:rPr>
          <w:rFonts w:ascii="Cambria" w:hAnsi="Cambria"/>
          <w:b/>
          <w:bCs/>
        </w:rPr>
      </w:pPr>
      <w:r>
        <w:rPr>
          <w:rFonts w:ascii="Cambria" w:hAnsi="Cambria"/>
        </w:rPr>
        <w:t>Propón una medida o iniciativa que fortalezca los conceptos trabajados, teniendo en consideración la pregunta planteada en la fuente 3.</w:t>
      </w:r>
    </w:p>
    <w:p w14:paraId="1660D004" w14:textId="77777777" w:rsidR="004A0FD6" w:rsidRPr="009A17C6" w:rsidRDefault="004A0FD6" w:rsidP="004A0FD6">
      <w:pPr>
        <w:spacing w:after="0"/>
        <w:jc w:val="both"/>
        <w:rPr>
          <w:rFonts w:ascii="Cambria" w:hAnsi="Cambria"/>
          <w:sz w:val="20"/>
          <w:szCs w:val="20"/>
        </w:rPr>
      </w:pPr>
      <w:r w:rsidRPr="009A17C6">
        <w:rPr>
          <w:rFonts w:ascii="Cambria" w:hAnsi="Cambria"/>
          <w:sz w:val="20"/>
          <w:szCs w:val="20"/>
        </w:rPr>
        <w:t>Fuente 1:</w:t>
      </w:r>
    </w:p>
    <w:p w14:paraId="1B18D870" w14:textId="77777777" w:rsidR="004A0FD6" w:rsidRPr="009A17C6" w:rsidRDefault="004A0FD6" w:rsidP="004A0FD6">
      <w:pPr>
        <w:spacing w:after="0"/>
        <w:jc w:val="both"/>
        <w:rPr>
          <w:rFonts w:ascii="Cambria" w:hAnsi="Cambria"/>
          <w:sz w:val="20"/>
          <w:szCs w:val="20"/>
        </w:rPr>
      </w:pPr>
      <w:r w:rsidRPr="009A17C6">
        <w:rPr>
          <w:rFonts w:ascii="Cambria" w:hAnsi="Cambria"/>
          <w:sz w:val="20"/>
          <w:szCs w:val="20"/>
        </w:rPr>
        <w:t>“La justicia social es un principio fundamental para la convivencia pacífica y próspera, dentro de los países y entre ellos. Defendemos los principios de justicia social cuando promovemos la igualdad de género, o los derechos de los pueblos indígenas y los migrantes. Promovemos la justicia social cuando eliminamos las barreras que enfrentan las personas debido al género, la edad, la raza, la etnia, la religión, la cultura o la discapacidad.</w:t>
      </w:r>
    </w:p>
    <w:p w14:paraId="2333EFE5" w14:textId="77777777" w:rsidR="004A0FD6" w:rsidRPr="009A17C6" w:rsidRDefault="004A0FD6" w:rsidP="004A0FD6">
      <w:pPr>
        <w:spacing w:after="0"/>
        <w:jc w:val="both"/>
        <w:rPr>
          <w:rFonts w:ascii="Cambria" w:hAnsi="Cambria"/>
          <w:sz w:val="20"/>
          <w:szCs w:val="20"/>
        </w:rPr>
      </w:pPr>
      <w:r w:rsidRPr="009A17C6">
        <w:rPr>
          <w:rFonts w:ascii="Cambria" w:hAnsi="Cambria"/>
          <w:sz w:val="20"/>
          <w:szCs w:val="20"/>
        </w:rPr>
        <w:t>La Organización Internacional del Trabajo (OIT) adoptó por unanimidad la Declaración de la OIT sobre la justicia social para una globalización equitativa. Esta Declaración surge en un momento político crucial, que refleja el amplio consenso acerca de la necesidad de una fuerte dimensión social en la globalización, que permita conseguir mejores resultados y que estos se repartan de manera más equitativa entre todos.</w:t>
      </w:r>
    </w:p>
    <w:p w14:paraId="1A86E84E" w14:textId="77777777" w:rsidR="004A0FD6" w:rsidRPr="009A17C6" w:rsidRDefault="004A0FD6" w:rsidP="004A0FD6">
      <w:pPr>
        <w:spacing w:after="0"/>
        <w:jc w:val="both"/>
        <w:rPr>
          <w:rFonts w:ascii="Cambria" w:hAnsi="Cambria"/>
          <w:sz w:val="20"/>
          <w:szCs w:val="20"/>
        </w:rPr>
      </w:pPr>
      <w:r w:rsidRPr="009A17C6">
        <w:rPr>
          <w:rFonts w:ascii="Cambria" w:hAnsi="Cambria"/>
          <w:sz w:val="20"/>
          <w:szCs w:val="20"/>
        </w:rPr>
        <w:t xml:space="preserve">LA Asamblea Genera reconoce que el desarrollo social y la justicia social son indispensables para la consecución y el mantenimiento de la paz y la seguridad en las naciones y entre ellas, y </w:t>
      </w:r>
      <w:proofErr w:type="gramStart"/>
      <w:r w:rsidRPr="009A17C6">
        <w:rPr>
          <w:rFonts w:ascii="Cambria" w:hAnsi="Cambria"/>
          <w:sz w:val="20"/>
          <w:szCs w:val="20"/>
        </w:rPr>
        <w:t>que</w:t>
      </w:r>
      <w:proofErr w:type="gramEnd"/>
      <w:r w:rsidRPr="009A17C6">
        <w:rPr>
          <w:rFonts w:ascii="Cambria" w:hAnsi="Cambria"/>
          <w:sz w:val="20"/>
          <w:szCs w:val="20"/>
        </w:rPr>
        <w:t xml:space="preserve"> a su vez, el desarrollo social y la justicia social no pueden alcanzarse si no hay paz y seguridad o si no se respetan todos los derechos humanos y las libertades fundamentales”.</w:t>
      </w:r>
    </w:p>
    <w:p w14:paraId="448AB015" w14:textId="77777777" w:rsidR="004A0FD6" w:rsidRPr="009A17C6" w:rsidRDefault="004A0FD6" w:rsidP="004A0FD6">
      <w:pPr>
        <w:spacing w:after="0"/>
        <w:jc w:val="right"/>
        <w:rPr>
          <w:rFonts w:ascii="Cambria" w:hAnsi="Cambria"/>
          <w:sz w:val="20"/>
          <w:szCs w:val="20"/>
        </w:rPr>
      </w:pPr>
      <w:r w:rsidRPr="009A17C6">
        <w:rPr>
          <w:rFonts w:ascii="Cambria" w:hAnsi="Cambria"/>
          <w:sz w:val="20"/>
          <w:szCs w:val="20"/>
        </w:rPr>
        <w:t xml:space="preserve">Naciones Unidas (2020). </w:t>
      </w:r>
      <w:r w:rsidRPr="009A17C6">
        <w:rPr>
          <w:rFonts w:ascii="Cambria" w:hAnsi="Cambria"/>
          <w:i/>
          <w:iCs/>
          <w:sz w:val="20"/>
          <w:szCs w:val="20"/>
        </w:rPr>
        <w:t>Día Mundial de la Justicia Social</w:t>
      </w:r>
      <w:r w:rsidRPr="009A17C6">
        <w:rPr>
          <w:rFonts w:ascii="Cambria" w:hAnsi="Cambria"/>
          <w:sz w:val="20"/>
          <w:szCs w:val="20"/>
        </w:rPr>
        <w:t>.</w:t>
      </w:r>
    </w:p>
    <w:p w14:paraId="1791F4DE" w14:textId="77777777" w:rsidR="004A0FD6" w:rsidRPr="009A17C6" w:rsidRDefault="004A0FD6" w:rsidP="004A0FD6">
      <w:pPr>
        <w:spacing w:after="0"/>
        <w:jc w:val="both"/>
        <w:rPr>
          <w:rFonts w:ascii="Cambria" w:hAnsi="Cambria"/>
          <w:sz w:val="20"/>
          <w:szCs w:val="20"/>
        </w:rPr>
      </w:pPr>
      <w:r w:rsidRPr="009A17C6">
        <w:rPr>
          <w:rFonts w:ascii="Cambria" w:hAnsi="Cambria"/>
          <w:sz w:val="20"/>
          <w:szCs w:val="20"/>
        </w:rPr>
        <w:t>Fuente 2:</w:t>
      </w:r>
    </w:p>
    <w:p w14:paraId="556B96F4" w14:textId="77777777" w:rsidR="004A0FD6" w:rsidRPr="009A17C6" w:rsidRDefault="004A0FD6" w:rsidP="004A0FD6">
      <w:pPr>
        <w:spacing w:after="0"/>
        <w:jc w:val="both"/>
        <w:rPr>
          <w:rFonts w:ascii="Cambria" w:hAnsi="Cambria"/>
          <w:sz w:val="20"/>
          <w:szCs w:val="20"/>
        </w:rPr>
      </w:pPr>
      <w:r w:rsidRPr="009A17C6">
        <w:rPr>
          <w:rFonts w:ascii="Cambria" w:hAnsi="Cambria"/>
          <w:sz w:val="20"/>
          <w:szCs w:val="20"/>
        </w:rPr>
        <w:t>“El concepto de cohesión social se refiere a los vínculos sociales que permiten a los individuos experimentar un sentido de pertenencia social, confiar en los demás, reconocer la legitimidad de la sociedad y confiar en sus instituciones.</w:t>
      </w:r>
    </w:p>
    <w:p w14:paraId="1B8AF239" w14:textId="77777777" w:rsidR="004A0FD6" w:rsidRPr="009A17C6" w:rsidRDefault="004A0FD6" w:rsidP="004A0FD6">
      <w:pPr>
        <w:spacing w:after="0"/>
        <w:jc w:val="both"/>
        <w:rPr>
          <w:rFonts w:ascii="Cambria" w:hAnsi="Cambria"/>
          <w:sz w:val="20"/>
          <w:szCs w:val="20"/>
        </w:rPr>
      </w:pPr>
      <w:r w:rsidRPr="009A17C6">
        <w:rPr>
          <w:rFonts w:ascii="Cambria" w:hAnsi="Cambria"/>
          <w:sz w:val="20"/>
          <w:szCs w:val="20"/>
        </w:rPr>
        <w:t>No hay ninguna razón para pensar que en las sociedades actuales prevalece un solo tipo de cohesión social y que en consecuencia los problemas de integración social sean equiparables en todos los casos. Es más productivo suponer que los tipos de cohesión social además de cambiar a lo largo de la historia pueden variar en distintos tipos de sociedades, pueden ser más o menos efectivos y pueden ser o no democráticos”.</w:t>
      </w:r>
    </w:p>
    <w:p w14:paraId="3C7B378B" w14:textId="77777777" w:rsidR="004A0FD6" w:rsidRPr="009A17C6" w:rsidRDefault="004A0FD6" w:rsidP="004A0FD6">
      <w:pPr>
        <w:spacing w:after="0"/>
        <w:jc w:val="right"/>
        <w:rPr>
          <w:rFonts w:ascii="Cambria" w:hAnsi="Cambria"/>
          <w:sz w:val="20"/>
          <w:szCs w:val="20"/>
        </w:rPr>
      </w:pPr>
      <w:r w:rsidRPr="009A17C6">
        <w:rPr>
          <w:rFonts w:ascii="Cambria" w:hAnsi="Cambria"/>
          <w:sz w:val="20"/>
          <w:szCs w:val="20"/>
        </w:rPr>
        <w:t xml:space="preserve">Barba, Carlos (2011). </w:t>
      </w:r>
      <w:r w:rsidRPr="009A17C6">
        <w:rPr>
          <w:rFonts w:ascii="Cambria" w:hAnsi="Cambria"/>
          <w:i/>
          <w:iCs/>
          <w:sz w:val="20"/>
          <w:szCs w:val="20"/>
        </w:rPr>
        <w:t>Revisión teórica del concepto de cohesión social</w:t>
      </w:r>
      <w:r w:rsidRPr="009A17C6">
        <w:rPr>
          <w:rFonts w:ascii="Cambria" w:hAnsi="Cambria"/>
          <w:sz w:val="20"/>
          <w:szCs w:val="20"/>
        </w:rPr>
        <w:t>.</w:t>
      </w:r>
    </w:p>
    <w:p w14:paraId="091F614F" w14:textId="77777777" w:rsidR="00477031" w:rsidRDefault="00477031" w:rsidP="004A0FD6">
      <w:pPr>
        <w:spacing w:after="0"/>
        <w:jc w:val="both"/>
        <w:rPr>
          <w:rFonts w:ascii="Cambria" w:hAnsi="Cambria"/>
          <w:sz w:val="20"/>
          <w:szCs w:val="20"/>
        </w:rPr>
      </w:pPr>
    </w:p>
    <w:p w14:paraId="5E0EAA3C" w14:textId="1338E7C0" w:rsidR="004A0FD6" w:rsidRDefault="004A0FD6" w:rsidP="004A0FD6">
      <w:pPr>
        <w:spacing w:after="0"/>
        <w:jc w:val="both"/>
        <w:rPr>
          <w:rFonts w:ascii="Cambria" w:hAnsi="Cambria"/>
          <w:sz w:val="20"/>
          <w:szCs w:val="20"/>
        </w:rPr>
      </w:pPr>
      <w:r w:rsidRPr="009A17C6">
        <w:rPr>
          <w:rFonts w:ascii="Cambria" w:hAnsi="Cambria"/>
          <w:sz w:val="20"/>
          <w:szCs w:val="20"/>
        </w:rPr>
        <w:lastRenderedPageBreak/>
        <w:t>Fuente 3:</w:t>
      </w:r>
    </w:p>
    <w:p w14:paraId="73A5985C" w14:textId="77777777" w:rsidR="004A0FD6" w:rsidRDefault="004A0FD6" w:rsidP="004A0FD6">
      <w:pPr>
        <w:spacing w:after="0"/>
        <w:jc w:val="both"/>
        <w:rPr>
          <w:rFonts w:ascii="Cambria" w:hAnsi="Cambria"/>
          <w:sz w:val="20"/>
          <w:szCs w:val="20"/>
        </w:rPr>
      </w:pPr>
      <w:r>
        <w:rPr>
          <w:rFonts w:ascii="Cambria" w:hAnsi="Cambria"/>
          <w:sz w:val="20"/>
          <w:szCs w:val="20"/>
        </w:rPr>
        <w:t>“En filosofía política, el bien común se entiende como parte de un modelo para la toma de decisiones entre los miembros de una comunidad política. Este modelo da por hecho que los ciudadanos mantienen una relación “política” o “cívica” entre sí y que esta relación les exige crear y mantener ciertas condiciones, pues ellas sirven a intereses comunes. Las condiciones y los intereses en cuestión constituyen en conjunto el bien común y sirven de punto compartido para la discusión política. Cuando los ciudadanos se enfrentan a asuntos de legislación, política pública o responsabilidad social, los resuelven apelando a esta idea de condiciones e intereses comunes. Es decir, discuten acerca de qué condiciones reclaman especial atención, cómo se deben extender, reducir o mantener condiciones existentes y cuáles se deben diseñar y construir en el futuro”.</w:t>
      </w:r>
    </w:p>
    <w:p w14:paraId="32D2F616" w14:textId="77777777" w:rsidR="004A0FD6" w:rsidRPr="009A17C6" w:rsidRDefault="004A0FD6" w:rsidP="004A0FD6">
      <w:pPr>
        <w:spacing w:after="0"/>
        <w:jc w:val="right"/>
        <w:rPr>
          <w:rFonts w:ascii="Cambria" w:hAnsi="Cambria"/>
          <w:sz w:val="20"/>
          <w:szCs w:val="20"/>
        </w:rPr>
      </w:pPr>
      <w:proofErr w:type="spellStart"/>
      <w:r>
        <w:rPr>
          <w:rFonts w:ascii="Cambria" w:hAnsi="Cambria"/>
          <w:sz w:val="20"/>
          <w:szCs w:val="20"/>
        </w:rPr>
        <w:t>Hussain</w:t>
      </w:r>
      <w:proofErr w:type="spellEnd"/>
      <w:r>
        <w:rPr>
          <w:rFonts w:ascii="Cambria" w:hAnsi="Cambria"/>
          <w:sz w:val="20"/>
          <w:szCs w:val="20"/>
        </w:rPr>
        <w:t xml:space="preserve">, </w:t>
      </w:r>
      <w:proofErr w:type="spellStart"/>
      <w:r>
        <w:rPr>
          <w:rFonts w:ascii="Cambria" w:hAnsi="Cambria"/>
          <w:sz w:val="20"/>
          <w:szCs w:val="20"/>
        </w:rPr>
        <w:t>Waheed</w:t>
      </w:r>
      <w:proofErr w:type="spellEnd"/>
      <w:r>
        <w:rPr>
          <w:rFonts w:ascii="Cambria" w:hAnsi="Cambria"/>
          <w:sz w:val="20"/>
          <w:szCs w:val="20"/>
        </w:rPr>
        <w:t xml:space="preserve"> (2018). </w:t>
      </w:r>
      <w:proofErr w:type="spellStart"/>
      <w:r w:rsidRPr="009A17C6">
        <w:rPr>
          <w:rFonts w:ascii="Cambria" w:hAnsi="Cambria"/>
          <w:i/>
          <w:iCs/>
          <w:sz w:val="20"/>
          <w:szCs w:val="20"/>
        </w:rPr>
        <w:t>The</w:t>
      </w:r>
      <w:proofErr w:type="spellEnd"/>
      <w:r w:rsidRPr="009A17C6">
        <w:rPr>
          <w:rFonts w:ascii="Cambria" w:hAnsi="Cambria"/>
          <w:i/>
          <w:iCs/>
          <w:sz w:val="20"/>
          <w:szCs w:val="20"/>
        </w:rPr>
        <w:t xml:space="preserve"> </w:t>
      </w:r>
      <w:proofErr w:type="spellStart"/>
      <w:r w:rsidRPr="009A17C6">
        <w:rPr>
          <w:rFonts w:ascii="Cambria" w:hAnsi="Cambria"/>
          <w:i/>
          <w:iCs/>
          <w:sz w:val="20"/>
          <w:szCs w:val="20"/>
        </w:rPr>
        <w:t>Common</w:t>
      </w:r>
      <w:proofErr w:type="spellEnd"/>
      <w:r w:rsidRPr="009A17C6">
        <w:rPr>
          <w:rFonts w:ascii="Cambria" w:hAnsi="Cambria"/>
          <w:i/>
          <w:iCs/>
          <w:sz w:val="20"/>
          <w:szCs w:val="20"/>
        </w:rPr>
        <w:t xml:space="preserve"> Good</w:t>
      </w:r>
      <w:r>
        <w:rPr>
          <w:rFonts w:ascii="Cambria" w:hAnsi="Cambria"/>
          <w:sz w:val="20"/>
          <w:szCs w:val="20"/>
        </w:rPr>
        <w:t>. (Traducción)</w:t>
      </w:r>
    </w:p>
    <w:p w14:paraId="62377CC9" w14:textId="77777777" w:rsidR="004A0FD6" w:rsidRDefault="004A0FD6" w:rsidP="004A0FD6">
      <w:pPr>
        <w:spacing w:after="0"/>
        <w:jc w:val="both"/>
        <w:rPr>
          <w:rFonts w:ascii="Cambria" w:hAnsi="Cambria"/>
          <w:noProof/>
        </w:rPr>
      </w:pPr>
      <w:r>
        <w:rPr>
          <w:rFonts w:ascii="Cambria" w:hAnsi="Cambria"/>
          <w:noProof/>
        </w:rPr>
        <w:t>Fuente 4:</w:t>
      </w:r>
    </w:p>
    <w:p w14:paraId="05BB2036" w14:textId="77777777" w:rsidR="004A0FD6" w:rsidRDefault="004A0FD6" w:rsidP="004A0FD6">
      <w:pPr>
        <w:spacing w:after="0"/>
        <w:jc w:val="both"/>
        <w:rPr>
          <w:rFonts w:ascii="Cambria" w:hAnsi="Cambria"/>
          <w:noProof/>
        </w:rPr>
      </w:pPr>
      <w:r>
        <w:rPr>
          <w:rFonts w:ascii="Cambria" w:hAnsi="Cambria"/>
          <w:noProof/>
        </w:rPr>
        <w:t>“Definir el bien común, ese al que aspiramos para nuestra sociedad, requiere, al menos en parte, un juicio de valor. Dicho juicio puede reflejar nuestras preferencias, nuestro grado de información, así como el lugar que ocupamos en la sociedad.</w:t>
      </w:r>
    </w:p>
    <w:p w14:paraId="76CF6E63" w14:textId="77777777" w:rsidR="004A0FD6" w:rsidRDefault="004A0FD6" w:rsidP="004A0FD6">
      <w:pPr>
        <w:spacing w:after="0"/>
        <w:jc w:val="both"/>
        <w:rPr>
          <w:rFonts w:ascii="Cambria" w:hAnsi="Cambria"/>
          <w:noProof/>
        </w:rPr>
      </w:pPr>
      <w:r>
        <w:rPr>
          <w:rFonts w:ascii="Cambria" w:hAnsi="Cambria"/>
          <w:noProof/>
        </w:rPr>
        <w:t>Sin embargo, es posible eliminar parte de la arbitrariedad inherente al ejercicio de definir el bien común. La reflexión intelectual nos ofrece una buena introducción en la materia. Suponga que usted aún no ha nacido y que, por lo tanto, no conce el lugar que le va a ser reservado en la sociedad: ni sus genes, ni su medio familiar, social, ético, religioso, nacional. Y plantéese la pregunta: ¿En qué sociedad me gustaría vivir, sabiendo que podría ser un hombre o una mujer, estar dotado de buena o mala salud, haber nacido en el seno de una familia acomodada o pobre, instruida o poco cultivada, atea o creyente, querer realizarme a través del trabajo u optar por otro estilo de vida, etcétera?”.</w:t>
      </w:r>
    </w:p>
    <w:p w14:paraId="0ECAC3B4" w14:textId="77777777" w:rsidR="004A0FD6" w:rsidRDefault="004A0FD6" w:rsidP="004A0FD6">
      <w:pPr>
        <w:spacing w:after="0"/>
        <w:jc w:val="right"/>
        <w:rPr>
          <w:rFonts w:ascii="Cambria" w:hAnsi="Cambria"/>
          <w:noProof/>
        </w:rPr>
      </w:pPr>
      <w:r>
        <w:rPr>
          <w:rFonts w:ascii="Cambria" w:hAnsi="Cambria"/>
          <w:noProof/>
        </w:rPr>
        <w:t xml:space="preserve">Tirole, Jean (2017). </w:t>
      </w:r>
      <w:r w:rsidRPr="00936265">
        <w:rPr>
          <w:rFonts w:ascii="Cambria" w:hAnsi="Cambria"/>
          <w:i/>
          <w:iCs/>
          <w:noProof/>
        </w:rPr>
        <w:t>La economía del bien común</w:t>
      </w:r>
      <w:r>
        <w:rPr>
          <w:rFonts w:ascii="Cambria" w:hAnsi="Cambria"/>
          <w:noProof/>
        </w:rPr>
        <w:t>.</w:t>
      </w:r>
    </w:p>
    <w:p w14:paraId="3B1F7E15" w14:textId="77777777" w:rsidR="00A970F6" w:rsidRDefault="00A970F6"/>
    <w:sectPr w:rsidR="00A970F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6FACB" w14:textId="77777777" w:rsidR="00967758" w:rsidRDefault="00967758" w:rsidP="004A0FD6">
      <w:pPr>
        <w:spacing w:after="0" w:line="240" w:lineRule="auto"/>
      </w:pPr>
      <w:r>
        <w:separator/>
      </w:r>
    </w:p>
  </w:endnote>
  <w:endnote w:type="continuationSeparator" w:id="0">
    <w:p w14:paraId="2D5B2071" w14:textId="77777777" w:rsidR="00967758" w:rsidRDefault="00967758" w:rsidP="004A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691AD" w14:textId="77777777" w:rsidR="00967758" w:rsidRDefault="00967758" w:rsidP="004A0FD6">
      <w:pPr>
        <w:spacing w:after="0" w:line="240" w:lineRule="auto"/>
      </w:pPr>
      <w:r>
        <w:separator/>
      </w:r>
    </w:p>
  </w:footnote>
  <w:footnote w:type="continuationSeparator" w:id="0">
    <w:p w14:paraId="1127FAAF" w14:textId="77777777" w:rsidR="00967758" w:rsidRDefault="00967758" w:rsidP="004A0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27EB" w14:textId="7F1BFFCD" w:rsidR="004A0FD6" w:rsidRDefault="004A0FD6">
    <w:pPr>
      <w:pStyle w:val="Encabezado"/>
    </w:pPr>
    <w:r>
      <w:rPr>
        <w:noProof/>
      </w:rPr>
      <mc:AlternateContent>
        <mc:Choice Requires="wps">
          <w:drawing>
            <wp:anchor distT="0" distB="0" distL="114300" distR="114300" simplePos="0" relativeHeight="251661312" behindDoc="0" locked="0" layoutInCell="1" allowOverlap="1" wp14:anchorId="00FDF0D5" wp14:editId="21ACD960">
              <wp:simplePos x="0" y="0"/>
              <wp:positionH relativeFrom="column">
                <wp:posOffset>4540250</wp:posOffset>
              </wp:positionH>
              <wp:positionV relativeFrom="paragraph">
                <wp:posOffset>-31115</wp:posOffset>
              </wp:positionV>
              <wp:extent cx="1905000" cy="476885"/>
              <wp:effectExtent l="0" t="0" r="0" b="0"/>
              <wp:wrapNone/>
              <wp:docPr id="74476653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476885"/>
                      </a:xfrm>
                      <a:prstGeom prst="rect">
                        <a:avLst/>
                      </a:prstGeom>
                      <a:noFill/>
                    </wps:spPr>
                    <wps:txbx>
                      <w:txbxContent>
                        <w:p w14:paraId="1010D8FA" w14:textId="77777777" w:rsidR="004A0FD6" w:rsidRPr="00732B2B" w:rsidRDefault="004A0FD6" w:rsidP="004A0FD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7160B3AD" w14:textId="77777777" w:rsidR="004A0FD6" w:rsidRPr="00732B2B" w:rsidRDefault="004A0FD6" w:rsidP="004A0FD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25D9F148" w14:textId="77777777" w:rsidR="004A0FD6" w:rsidRPr="00732B2B" w:rsidRDefault="004A0FD6" w:rsidP="004A0FD6">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4°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00FDF0D5" id="_x0000_t202" coordsize="21600,21600" o:spt="202" path="m,l,21600r21600,l21600,xe">
              <v:stroke joinstyle="miter"/>
              <v:path gradientshapeok="t" o:connecttype="rect"/>
            </v:shapetype>
            <v:shape id="Cuadro de texto 3" o:spid="_x0000_s1026" type="#_x0000_t202" style="position:absolute;margin-left:357.5pt;margin-top:-2.45pt;width:150pt;height:3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" filled="f" stroked="f">
              <v:textbox style="mso-fit-shape-to-text:t">
                <w:txbxContent>
                  <w:p w14:paraId="1010D8FA" w14:textId="77777777" w:rsidR="004A0FD6" w:rsidRPr="00732B2B" w:rsidRDefault="004A0FD6" w:rsidP="004A0FD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w:t>
                    </w:r>
                    <w:r>
                      <w:rPr>
                        <w:rFonts w:ascii="Cambria" w:hAnsi="Cambria"/>
                        <w:color w:val="000000" w:themeColor="text1"/>
                        <w:kern w:val="24"/>
                        <w:sz w:val="16"/>
                        <w:szCs w:val="16"/>
                      </w:rPr>
                      <w:t>Educación Ciudadana.</w:t>
                    </w:r>
                    <w:r w:rsidRPr="00732B2B">
                      <w:rPr>
                        <w:rFonts w:ascii="Cambria" w:hAnsi="Cambria"/>
                        <w:color w:val="000000" w:themeColor="text1"/>
                        <w:kern w:val="24"/>
                        <w:sz w:val="16"/>
                        <w:szCs w:val="16"/>
                      </w:rPr>
                      <w:t xml:space="preserve"> </w:t>
                    </w:r>
                  </w:p>
                  <w:p w14:paraId="7160B3AD" w14:textId="77777777" w:rsidR="004A0FD6" w:rsidRPr="00732B2B" w:rsidRDefault="004A0FD6" w:rsidP="004A0FD6">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25D9F148" w14:textId="77777777" w:rsidR="004A0FD6" w:rsidRPr="00732B2B" w:rsidRDefault="004A0FD6" w:rsidP="004A0FD6">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4°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EC2AE2F" wp14:editId="0FCCC174">
              <wp:simplePos x="0" y="0"/>
              <wp:positionH relativeFrom="column">
                <wp:posOffset>-572135</wp:posOffset>
              </wp:positionH>
              <wp:positionV relativeFrom="paragraph">
                <wp:posOffset>-230505</wp:posOffset>
              </wp:positionV>
              <wp:extent cx="2040890" cy="676275"/>
              <wp:effectExtent l="0" t="0" r="0" b="0"/>
              <wp:wrapNone/>
              <wp:docPr id="160049190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72E6942B" w14:textId="77777777" w:rsidR="004A0FD6" w:rsidRDefault="004A0FD6" w:rsidP="004A0FD6">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12CF3B72" w14:textId="77777777" w:rsidR="004A0FD6" w:rsidRDefault="004A0FD6" w:rsidP="004A0FD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332847C7" w14:textId="77777777" w:rsidR="004A0FD6" w:rsidRDefault="004A0FD6" w:rsidP="004A0FD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2B1773B6" wp14:editId="3DBEDE0A">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EC2AE2F" id="Cuadro de texto 1" o:spid="_x0000_s1027" type="#_x0000_t202" style="position:absolute;margin-left:-45.05pt;margin-top:-18.1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" filled="f" stroked="f">
              <v:textbox inset="0,0,0,0">
                <w:txbxContent>
                  <w:p w14:paraId="72E6942B" w14:textId="77777777" w:rsidR="004A0FD6" w:rsidRDefault="004A0FD6" w:rsidP="004A0FD6">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12CF3B72" w14:textId="77777777" w:rsidR="004A0FD6" w:rsidRDefault="004A0FD6" w:rsidP="004A0FD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332847C7" w14:textId="77777777" w:rsidR="004A0FD6" w:rsidRDefault="004A0FD6" w:rsidP="004A0FD6">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2B1773B6" wp14:editId="3DBEDE0A">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64646"/>
    <w:multiLevelType w:val="hybridMultilevel"/>
    <w:tmpl w:val="98F0CF20"/>
    <w:lvl w:ilvl="0" w:tplc="40E86BD0">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4EB257B1"/>
    <w:multiLevelType w:val="hybridMultilevel"/>
    <w:tmpl w:val="0E648442"/>
    <w:lvl w:ilvl="0" w:tplc="C9183EAE">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79527623">
    <w:abstractNumId w:val="1"/>
  </w:num>
  <w:num w:numId="2" w16cid:durableId="1930307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D6"/>
    <w:rsid w:val="0026144C"/>
    <w:rsid w:val="00477031"/>
    <w:rsid w:val="004A0FD6"/>
    <w:rsid w:val="004B6D70"/>
    <w:rsid w:val="005206A2"/>
    <w:rsid w:val="00674F7B"/>
    <w:rsid w:val="007328DD"/>
    <w:rsid w:val="00967758"/>
    <w:rsid w:val="00A46454"/>
    <w:rsid w:val="00A970F6"/>
    <w:rsid w:val="00D70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309AD"/>
  <w15:chartTrackingRefBased/>
  <w15:docId w15:val="{4727BE9C-3DD2-45B8-A057-3CD993B8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4A0FD6"/>
    <w:rPr>
      <w:kern w:val="0"/>
      <w:lang w:val="es-CL"/>
    </w:rPr>
  </w:style>
  <w:style w:type="paragraph" w:styleId="Ttulo1">
    <w:name w:val="heading 1"/>
    <w:basedOn w:val="Normal"/>
    <w:next w:val="Normal"/>
    <w:link w:val="Ttulo1Car"/>
    <w:uiPriority w:val="9"/>
    <w:qFormat/>
    <w:rsid w:val="004A0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A0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A0FD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A0FD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A0FD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A0FD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A0FD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A0FD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A0FD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0FD6"/>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4A0FD6"/>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4A0FD6"/>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4A0FD6"/>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4A0FD6"/>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4A0FD6"/>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4A0FD6"/>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4A0FD6"/>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4A0FD6"/>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4A0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A0FD6"/>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4A0FD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A0FD6"/>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4A0FD6"/>
    <w:pPr>
      <w:spacing w:before="160"/>
      <w:jc w:val="center"/>
    </w:pPr>
    <w:rPr>
      <w:i/>
      <w:iCs/>
      <w:color w:val="404040" w:themeColor="text1" w:themeTint="BF"/>
    </w:rPr>
  </w:style>
  <w:style w:type="character" w:customStyle="1" w:styleId="CitaCar">
    <w:name w:val="Cita Car"/>
    <w:basedOn w:val="Fuentedeprrafopredeter"/>
    <w:link w:val="Cita"/>
    <w:uiPriority w:val="29"/>
    <w:rsid w:val="004A0FD6"/>
    <w:rPr>
      <w:rFonts w:ascii="Cambria" w:hAnsi="Cambria"/>
      <w:i/>
      <w:iCs/>
      <w:color w:val="404040" w:themeColor="text1" w:themeTint="BF"/>
      <w:kern w:val="0"/>
      <w:lang w:val="es-CL"/>
    </w:rPr>
  </w:style>
  <w:style w:type="paragraph" w:styleId="Prrafodelista">
    <w:name w:val="List Paragraph"/>
    <w:basedOn w:val="Normal"/>
    <w:uiPriority w:val="34"/>
    <w:qFormat/>
    <w:rsid w:val="004A0FD6"/>
    <w:pPr>
      <w:ind w:left="720"/>
      <w:contextualSpacing/>
    </w:pPr>
  </w:style>
  <w:style w:type="character" w:styleId="nfasisintenso">
    <w:name w:val="Intense Emphasis"/>
    <w:basedOn w:val="Fuentedeprrafopredeter"/>
    <w:uiPriority w:val="21"/>
    <w:qFormat/>
    <w:rsid w:val="004A0FD6"/>
    <w:rPr>
      <w:i/>
      <w:iCs/>
      <w:color w:val="0F4761" w:themeColor="accent1" w:themeShade="BF"/>
    </w:rPr>
  </w:style>
  <w:style w:type="paragraph" w:styleId="Citadestacada">
    <w:name w:val="Intense Quote"/>
    <w:basedOn w:val="Normal"/>
    <w:next w:val="Normal"/>
    <w:link w:val="CitadestacadaCar"/>
    <w:uiPriority w:val="30"/>
    <w:qFormat/>
    <w:rsid w:val="004A0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A0FD6"/>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4A0FD6"/>
    <w:rPr>
      <w:b/>
      <w:bCs/>
      <w:smallCaps/>
      <w:color w:val="0F4761" w:themeColor="accent1" w:themeShade="BF"/>
      <w:spacing w:val="5"/>
    </w:rPr>
  </w:style>
  <w:style w:type="table" w:styleId="Tablaconcuadrcula">
    <w:name w:val="Table Grid"/>
    <w:basedOn w:val="Tablanormal"/>
    <w:uiPriority w:val="39"/>
    <w:rsid w:val="004A0FD6"/>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A0F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0FD6"/>
    <w:rPr>
      <w:kern w:val="0"/>
      <w:lang w:val="es-CL"/>
    </w:rPr>
  </w:style>
  <w:style w:type="paragraph" w:styleId="Piedepgina">
    <w:name w:val="footer"/>
    <w:basedOn w:val="Normal"/>
    <w:link w:val="PiedepginaCar"/>
    <w:uiPriority w:val="99"/>
    <w:unhideWhenUsed/>
    <w:rsid w:val="004A0F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0FD6"/>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4100</Characters>
  <Application>Microsoft Office Word</Application>
  <DocSecurity>0</DocSecurity>
  <Lines>34</Lines>
  <Paragraphs>9</Paragraphs>
  <ScaleCrop>false</ScaleCrop>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2025-03-03T19:40:00Z</cp:lastPrinted>
  <dcterms:created xsi:type="dcterms:W3CDTF">2025-03-03T19:40:00Z</dcterms:created>
  <dcterms:modified xsi:type="dcterms:W3CDTF">2025-03-03T19:40:00Z</dcterms:modified>
</cp:coreProperties>
</file>