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E9FBE" w14:textId="119245E0" w:rsidR="00D86E5F" w:rsidRPr="00BD5D09" w:rsidRDefault="00D86E5F" w:rsidP="00D86E5F">
      <w:pPr>
        <w:spacing w:after="0"/>
        <w:jc w:val="center"/>
        <w:rPr>
          <w:rFonts w:ascii="Cambria" w:hAnsi="Cambria"/>
          <w:b/>
          <w:bCs/>
          <w:u w:val="single"/>
        </w:rPr>
      </w:pPr>
      <w:r w:rsidRPr="00BD5D09">
        <w:rPr>
          <w:rFonts w:ascii="Cambria" w:hAnsi="Cambria"/>
          <w:b/>
          <w:bCs/>
          <w:u w:val="single"/>
        </w:rPr>
        <w:t xml:space="preserve">TALLER </w:t>
      </w:r>
      <w:r w:rsidR="007479E8">
        <w:rPr>
          <w:rFonts w:ascii="Cambria" w:hAnsi="Cambria"/>
          <w:b/>
          <w:bCs/>
          <w:u w:val="single"/>
        </w:rPr>
        <w:t>3</w:t>
      </w:r>
    </w:p>
    <w:p w14:paraId="4183095A" w14:textId="54BD7F09" w:rsidR="00D86E5F" w:rsidRPr="00BD5D09" w:rsidRDefault="00D86E5F" w:rsidP="00D86E5F">
      <w:pPr>
        <w:jc w:val="center"/>
        <w:rPr>
          <w:rFonts w:ascii="Cambria" w:hAnsi="Cambria"/>
          <w:b/>
          <w:bCs/>
          <w:u w:val="single"/>
        </w:rPr>
      </w:pPr>
      <w:r>
        <w:rPr>
          <w:rFonts w:ascii="Cambria" w:hAnsi="Cambria"/>
          <w:b/>
          <w:bCs/>
          <w:u w:val="single"/>
        </w:rPr>
        <w:t>¿QUÉ C</w:t>
      </w:r>
      <w:r w:rsidR="007479E8">
        <w:rPr>
          <w:rFonts w:ascii="Cambria" w:hAnsi="Cambria"/>
          <w:b/>
          <w:bCs/>
          <w:u w:val="single"/>
        </w:rPr>
        <w:t>ONSECUENCIAS DEJÓ LA PRIMERA GUERRA MUNDIAL</w:t>
      </w:r>
      <w:r>
        <w:rPr>
          <w:rFonts w:ascii="Cambria" w:hAnsi="Cambria"/>
          <w:b/>
          <w:bCs/>
          <w:u w:val="single"/>
        </w:rPr>
        <w:t>?</w:t>
      </w:r>
    </w:p>
    <w:tbl>
      <w:tblPr>
        <w:tblStyle w:val="Tablaconcuadrcula"/>
        <w:tblW w:w="0" w:type="auto"/>
        <w:tblLook w:val="04A0" w:firstRow="1" w:lastRow="0" w:firstColumn="1" w:lastColumn="0" w:noHBand="0" w:noVBand="1"/>
      </w:tblPr>
      <w:tblGrid>
        <w:gridCol w:w="1696"/>
        <w:gridCol w:w="7132"/>
      </w:tblGrid>
      <w:tr w:rsidR="00D86E5F" w:rsidRPr="00BD5D09" w14:paraId="412FFF0E" w14:textId="77777777" w:rsidTr="00D97F4C">
        <w:tc>
          <w:tcPr>
            <w:tcW w:w="1696" w:type="dxa"/>
          </w:tcPr>
          <w:p w14:paraId="5B0A868E" w14:textId="77777777" w:rsidR="00D86E5F" w:rsidRPr="00BD5D09" w:rsidRDefault="00D86E5F" w:rsidP="00D97F4C">
            <w:pPr>
              <w:jc w:val="both"/>
              <w:rPr>
                <w:rFonts w:ascii="Cambria" w:hAnsi="Cambria"/>
                <w:sz w:val="20"/>
                <w:szCs w:val="20"/>
              </w:rPr>
            </w:pPr>
            <w:r w:rsidRPr="00BD5D09">
              <w:rPr>
                <w:rFonts w:ascii="Cambria" w:hAnsi="Cambria"/>
                <w:sz w:val="20"/>
                <w:szCs w:val="20"/>
              </w:rPr>
              <w:t>Nombre</w:t>
            </w:r>
          </w:p>
        </w:tc>
        <w:tc>
          <w:tcPr>
            <w:tcW w:w="7132" w:type="dxa"/>
          </w:tcPr>
          <w:p w14:paraId="3DD8CCA7" w14:textId="77777777" w:rsidR="00D86E5F" w:rsidRPr="00BD5D09" w:rsidRDefault="00D86E5F" w:rsidP="00D97F4C">
            <w:pPr>
              <w:jc w:val="both"/>
              <w:rPr>
                <w:rFonts w:ascii="Cambria" w:hAnsi="Cambria"/>
                <w:sz w:val="20"/>
                <w:szCs w:val="20"/>
              </w:rPr>
            </w:pPr>
          </w:p>
        </w:tc>
      </w:tr>
      <w:tr w:rsidR="00D86E5F" w:rsidRPr="00BD5D09" w14:paraId="40AB6109" w14:textId="77777777" w:rsidTr="00D97F4C">
        <w:tc>
          <w:tcPr>
            <w:tcW w:w="1696" w:type="dxa"/>
          </w:tcPr>
          <w:p w14:paraId="69589480" w14:textId="77777777" w:rsidR="00D86E5F" w:rsidRPr="00BD5D09" w:rsidRDefault="00D86E5F" w:rsidP="00D97F4C">
            <w:pPr>
              <w:jc w:val="both"/>
              <w:rPr>
                <w:rFonts w:ascii="Cambria" w:hAnsi="Cambria"/>
                <w:sz w:val="20"/>
                <w:szCs w:val="20"/>
              </w:rPr>
            </w:pPr>
            <w:r w:rsidRPr="00BD5D09">
              <w:rPr>
                <w:rFonts w:ascii="Cambria" w:hAnsi="Cambria"/>
                <w:sz w:val="20"/>
                <w:szCs w:val="20"/>
              </w:rPr>
              <w:t>Fecha</w:t>
            </w:r>
          </w:p>
        </w:tc>
        <w:tc>
          <w:tcPr>
            <w:tcW w:w="7132" w:type="dxa"/>
          </w:tcPr>
          <w:p w14:paraId="0645D93B" w14:textId="6A642B1D" w:rsidR="00D86E5F" w:rsidRPr="00BD5D09" w:rsidRDefault="00D86E5F" w:rsidP="00D97F4C">
            <w:pPr>
              <w:jc w:val="both"/>
              <w:rPr>
                <w:rFonts w:ascii="Cambria" w:hAnsi="Cambria"/>
                <w:sz w:val="20"/>
                <w:szCs w:val="20"/>
              </w:rPr>
            </w:pPr>
            <w:r>
              <w:rPr>
                <w:rFonts w:ascii="Cambria" w:hAnsi="Cambria"/>
                <w:sz w:val="20"/>
                <w:szCs w:val="20"/>
              </w:rPr>
              <w:t>1</w:t>
            </w:r>
            <w:r w:rsidR="007479E8">
              <w:rPr>
                <w:rFonts w:ascii="Cambria" w:hAnsi="Cambria"/>
                <w:sz w:val="20"/>
                <w:szCs w:val="20"/>
              </w:rPr>
              <w:t>7</w:t>
            </w:r>
            <w:r>
              <w:rPr>
                <w:rFonts w:ascii="Cambria" w:hAnsi="Cambria"/>
                <w:sz w:val="20"/>
                <w:szCs w:val="20"/>
              </w:rPr>
              <w:t>-03-2025</w:t>
            </w:r>
          </w:p>
        </w:tc>
      </w:tr>
    </w:tbl>
    <w:p w14:paraId="09B65D61" w14:textId="0C4562FC" w:rsidR="00D86E5F" w:rsidRPr="0004627A" w:rsidRDefault="00D86E5F" w:rsidP="00D86E5F">
      <w:pPr>
        <w:spacing w:before="240"/>
        <w:jc w:val="both"/>
        <w:rPr>
          <w:rFonts w:ascii="Cambria" w:hAnsi="Cambria"/>
          <w:b/>
          <w:bCs/>
        </w:rPr>
      </w:pPr>
      <w:r w:rsidRPr="0004627A">
        <w:rPr>
          <w:rFonts w:ascii="Cambria" w:hAnsi="Cambria"/>
          <w:b/>
          <w:bCs/>
        </w:rPr>
        <w:t xml:space="preserve">Objetivo: </w:t>
      </w:r>
      <w:r w:rsidR="007479E8">
        <w:rPr>
          <w:rFonts w:ascii="Cambria" w:hAnsi="Cambria"/>
          <w:b/>
          <w:bCs/>
        </w:rPr>
        <w:t>Explicar las consecuencias de</w:t>
      </w:r>
      <w:r>
        <w:rPr>
          <w:rFonts w:ascii="Cambria" w:hAnsi="Cambria"/>
          <w:b/>
          <w:bCs/>
        </w:rPr>
        <w:t xml:space="preserve"> la Primera Guerra Mundial a través de </w:t>
      </w:r>
      <w:r w:rsidR="007479E8">
        <w:rPr>
          <w:rFonts w:ascii="Cambria" w:hAnsi="Cambria"/>
          <w:b/>
          <w:bCs/>
        </w:rPr>
        <w:t>explicación consecuencial</w:t>
      </w:r>
      <w:r>
        <w:rPr>
          <w:rFonts w:ascii="Cambria" w:hAnsi="Cambria"/>
          <w:b/>
          <w:bCs/>
        </w:rPr>
        <w:t xml:space="preserve"> para valorar la vida en democracia</w:t>
      </w:r>
    </w:p>
    <w:p w14:paraId="3429142D" w14:textId="77777777" w:rsidR="00D86E5F" w:rsidRPr="0004627A" w:rsidRDefault="00D86E5F" w:rsidP="00D86E5F">
      <w:pPr>
        <w:spacing w:after="0"/>
        <w:jc w:val="both"/>
        <w:rPr>
          <w:rFonts w:ascii="Cambria" w:hAnsi="Cambria"/>
          <w:b/>
          <w:bCs/>
        </w:rPr>
      </w:pPr>
      <w:r w:rsidRPr="0004627A">
        <w:rPr>
          <w:rFonts w:ascii="Cambria" w:hAnsi="Cambria"/>
          <w:b/>
          <w:bCs/>
        </w:rPr>
        <w:t>Instrucciones:</w:t>
      </w:r>
    </w:p>
    <w:p w14:paraId="11F32BCB" w14:textId="359B2050" w:rsidR="00A970F6" w:rsidRPr="00D86E5F" w:rsidRDefault="00D86E5F" w:rsidP="00D86E5F">
      <w:pPr>
        <w:pStyle w:val="Prrafodelista"/>
        <w:numPr>
          <w:ilvl w:val="0"/>
          <w:numId w:val="1"/>
        </w:numPr>
        <w:spacing w:after="0"/>
        <w:jc w:val="both"/>
      </w:pPr>
      <w:r>
        <w:rPr>
          <w:rFonts w:ascii="Cambria" w:hAnsi="Cambria"/>
        </w:rPr>
        <w:t>Observa</w:t>
      </w:r>
      <w:r w:rsidRPr="0004627A">
        <w:rPr>
          <w:rFonts w:ascii="Cambria" w:hAnsi="Cambria"/>
        </w:rPr>
        <w:t xml:space="preserve"> las fuentes que se presentan </w:t>
      </w:r>
      <w:r>
        <w:rPr>
          <w:rFonts w:ascii="Cambria" w:hAnsi="Cambria"/>
        </w:rPr>
        <w:t>y responde las preguntas:</w:t>
      </w:r>
    </w:p>
    <w:p w14:paraId="1C579C47" w14:textId="07594DAE" w:rsidR="00D86E5F" w:rsidRPr="00D86E5F" w:rsidRDefault="00D86E5F" w:rsidP="00D86E5F">
      <w:pPr>
        <w:pStyle w:val="Prrafodelista"/>
        <w:numPr>
          <w:ilvl w:val="0"/>
          <w:numId w:val="2"/>
        </w:numPr>
        <w:spacing w:after="0"/>
        <w:jc w:val="both"/>
      </w:pPr>
      <w:r>
        <w:rPr>
          <w:rFonts w:ascii="Cambria" w:hAnsi="Cambria"/>
        </w:rPr>
        <w:t>Identifica las consecuencias de la Primera Guerra Mundial agrupándolas en las siguientes categorías:</w:t>
      </w:r>
    </w:p>
    <w:tbl>
      <w:tblPr>
        <w:tblStyle w:val="Tablaconcuadrcula"/>
        <w:tblW w:w="0" w:type="auto"/>
        <w:tblLook w:val="04A0" w:firstRow="1" w:lastRow="0" w:firstColumn="1" w:lastColumn="0" w:noHBand="0" w:noVBand="1"/>
      </w:tblPr>
      <w:tblGrid>
        <w:gridCol w:w="4428"/>
        <w:gridCol w:w="4400"/>
      </w:tblGrid>
      <w:tr w:rsidR="00D86E5F" w14:paraId="3F3C0022" w14:textId="77777777" w:rsidTr="00D86E5F">
        <w:tc>
          <w:tcPr>
            <w:tcW w:w="4489" w:type="dxa"/>
          </w:tcPr>
          <w:p w14:paraId="35042D49" w14:textId="5D460800" w:rsidR="00D86E5F" w:rsidRDefault="00D86E5F" w:rsidP="00D86E5F">
            <w:pPr>
              <w:jc w:val="both"/>
              <w:rPr>
                <w:rFonts w:ascii="Cambria" w:hAnsi="Cambria"/>
              </w:rPr>
            </w:pPr>
            <w:r>
              <w:rPr>
                <w:rFonts w:ascii="Cambria" w:hAnsi="Cambria"/>
              </w:rPr>
              <w:t>Consecuencias políticas</w:t>
            </w:r>
          </w:p>
        </w:tc>
        <w:tc>
          <w:tcPr>
            <w:tcW w:w="4489" w:type="dxa"/>
          </w:tcPr>
          <w:p w14:paraId="7C4A08AE" w14:textId="77777777" w:rsidR="00D86E5F" w:rsidRDefault="00D86E5F" w:rsidP="00D86E5F">
            <w:pPr>
              <w:jc w:val="both"/>
              <w:rPr>
                <w:rFonts w:ascii="Cambria" w:hAnsi="Cambria"/>
              </w:rPr>
            </w:pPr>
          </w:p>
        </w:tc>
      </w:tr>
      <w:tr w:rsidR="00D86E5F" w14:paraId="4B768560" w14:textId="77777777" w:rsidTr="00D86E5F">
        <w:tc>
          <w:tcPr>
            <w:tcW w:w="4489" w:type="dxa"/>
          </w:tcPr>
          <w:p w14:paraId="7BDDFB2E" w14:textId="38702088" w:rsidR="00D86E5F" w:rsidRDefault="00D86E5F" w:rsidP="00D86E5F">
            <w:pPr>
              <w:jc w:val="both"/>
              <w:rPr>
                <w:rFonts w:ascii="Cambria" w:hAnsi="Cambria"/>
              </w:rPr>
            </w:pPr>
            <w:r>
              <w:rPr>
                <w:rFonts w:ascii="Cambria" w:hAnsi="Cambria"/>
              </w:rPr>
              <w:t>Consecuencias sociales</w:t>
            </w:r>
          </w:p>
        </w:tc>
        <w:tc>
          <w:tcPr>
            <w:tcW w:w="4489" w:type="dxa"/>
          </w:tcPr>
          <w:p w14:paraId="0DFA03F5" w14:textId="77777777" w:rsidR="00D86E5F" w:rsidRDefault="00D86E5F" w:rsidP="00D86E5F">
            <w:pPr>
              <w:jc w:val="both"/>
              <w:rPr>
                <w:rFonts w:ascii="Cambria" w:hAnsi="Cambria"/>
              </w:rPr>
            </w:pPr>
          </w:p>
        </w:tc>
      </w:tr>
      <w:tr w:rsidR="00D86E5F" w14:paraId="0C87258D" w14:textId="77777777" w:rsidTr="00D86E5F">
        <w:tc>
          <w:tcPr>
            <w:tcW w:w="4489" w:type="dxa"/>
          </w:tcPr>
          <w:p w14:paraId="1CE796A2" w14:textId="7958785B" w:rsidR="00D86E5F" w:rsidRDefault="00D86E5F" w:rsidP="00D86E5F">
            <w:pPr>
              <w:jc w:val="both"/>
              <w:rPr>
                <w:rFonts w:ascii="Cambria" w:hAnsi="Cambria"/>
              </w:rPr>
            </w:pPr>
            <w:r>
              <w:rPr>
                <w:rFonts w:ascii="Cambria" w:hAnsi="Cambria"/>
              </w:rPr>
              <w:t>Consecuencias económicas</w:t>
            </w:r>
          </w:p>
        </w:tc>
        <w:tc>
          <w:tcPr>
            <w:tcW w:w="4489" w:type="dxa"/>
          </w:tcPr>
          <w:p w14:paraId="7B8A87C2" w14:textId="77777777" w:rsidR="00D86E5F" w:rsidRDefault="00D86E5F" w:rsidP="00D86E5F">
            <w:pPr>
              <w:jc w:val="both"/>
              <w:rPr>
                <w:rFonts w:ascii="Cambria" w:hAnsi="Cambria"/>
              </w:rPr>
            </w:pPr>
          </w:p>
        </w:tc>
      </w:tr>
      <w:tr w:rsidR="00D86E5F" w14:paraId="1C4D5FD9" w14:textId="77777777" w:rsidTr="00D86E5F">
        <w:tc>
          <w:tcPr>
            <w:tcW w:w="4489" w:type="dxa"/>
          </w:tcPr>
          <w:p w14:paraId="767ADBB8" w14:textId="25CCFA8E" w:rsidR="00D86E5F" w:rsidRDefault="00D86E5F" w:rsidP="00D86E5F">
            <w:pPr>
              <w:jc w:val="both"/>
              <w:rPr>
                <w:rFonts w:ascii="Cambria" w:hAnsi="Cambria"/>
              </w:rPr>
            </w:pPr>
            <w:r>
              <w:rPr>
                <w:rFonts w:ascii="Cambria" w:hAnsi="Cambria"/>
              </w:rPr>
              <w:t>Consecuencias humanas</w:t>
            </w:r>
          </w:p>
        </w:tc>
        <w:tc>
          <w:tcPr>
            <w:tcW w:w="4489" w:type="dxa"/>
          </w:tcPr>
          <w:p w14:paraId="624C184E" w14:textId="77777777" w:rsidR="00D86E5F" w:rsidRDefault="00D86E5F" w:rsidP="00D86E5F">
            <w:pPr>
              <w:jc w:val="both"/>
              <w:rPr>
                <w:rFonts w:ascii="Cambria" w:hAnsi="Cambria"/>
              </w:rPr>
            </w:pPr>
          </w:p>
        </w:tc>
      </w:tr>
    </w:tbl>
    <w:p w14:paraId="6240D5F5" w14:textId="1704999D" w:rsidR="00D86E5F" w:rsidRDefault="00D86E5F" w:rsidP="00D86E5F">
      <w:pPr>
        <w:pStyle w:val="Prrafodelista"/>
        <w:numPr>
          <w:ilvl w:val="0"/>
          <w:numId w:val="2"/>
        </w:numPr>
        <w:spacing w:after="0"/>
        <w:jc w:val="both"/>
        <w:rPr>
          <w:rFonts w:ascii="Cambria" w:hAnsi="Cambria"/>
        </w:rPr>
      </w:pPr>
      <w:r>
        <w:rPr>
          <w:rFonts w:ascii="Cambria" w:hAnsi="Cambria"/>
        </w:rPr>
        <w:t>Realiza un texto de explicación consecuencial siguiendo los siguientes pasos:</w:t>
      </w:r>
    </w:p>
    <w:p w14:paraId="7759BC0B" w14:textId="38658612" w:rsidR="00D86E5F" w:rsidRDefault="00D86E5F" w:rsidP="00D86E5F">
      <w:pPr>
        <w:pStyle w:val="Prrafodelista"/>
        <w:numPr>
          <w:ilvl w:val="0"/>
          <w:numId w:val="3"/>
        </w:numPr>
        <w:spacing w:after="0"/>
        <w:jc w:val="both"/>
        <w:rPr>
          <w:rFonts w:ascii="Cambria" w:hAnsi="Cambria"/>
        </w:rPr>
      </w:pPr>
      <w:r>
        <w:rPr>
          <w:rFonts w:ascii="Cambria" w:hAnsi="Cambria"/>
        </w:rPr>
        <w:t xml:space="preserve">Introducción del tema: </w:t>
      </w:r>
      <w:r w:rsidRPr="00D86E5F">
        <w:rPr>
          <w:rFonts w:ascii="Cambria" w:hAnsi="Cambria"/>
        </w:rPr>
        <w:t>Contextualiza el hecho o evento que desencadenó las consecuencias. Proporciona una breve descripción para que la audiencia entienda sobre qué estás hablando.</w:t>
      </w:r>
    </w:p>
    <w:p w14:paraId="73C5F190" w14:textId="1973A433" w:rsidR="00D86E5F" w:rsidRDefault="00D86E5F" w:rsidP="00D86E5F">
      <w:pPr>
        <w:pStyle w:val="Prrafodelista"/>
        <w:numPr>
          <w:ilvl w:val="0"/>
          <w:numId w:val="3"/>
        </w:numPr>
        <w:spacing w:after="0"/>
        <w:jc w:val="both"/>
        <w:rPr>
          <w:rFonts w:ascii="Cambria" w:hAnsi="Cambria"/>
        </w:rPr>
      </w:pPr>
      <w:r w:rsidRPr="00D86E5F">
        <w:rPr>
          <w:rFonts w:ascii="Cambria" w:hAnsi="Cambria"/>
        </w:rPr>
        <w:t>Explicación de las consecuencias inmediatas</w:t>
      </w:r>
      <w:r>
        <w:rPr>
          <w:rFonts w:ascii="Cambria" w:hAnsi="Cambria"/>
        </w:rPr>
        <w:t xml:space="preserve">: </w:t>
      </w:r>
      <w:r w:rsidRPr="00D86E5F">
        <w:rPr>
          <w:rFonts w:ascii="Cambria" w:hAnsi="Cambria"/>
        </w:rPr>
        <w:t>Describe las primeras reacciones o efectos que se produjeron de manera directa tras el evento.</w:t>
      </w:r>
    </w:p>
    <w:p w14:paraId="2F80271B" w14:textId="2E9C5BE3" w:rsidR="00D86E5F" w:rsidRDefault="00D86E5F" w:rsidP="00D86E5F">
      <w:pPr>
        <w:pStyle w:val="Prrafodelista"/>
        <w:numPr>
          <w:ilvl w:val="0"/>
          <w:numId w:val="3"/>
        </w:numPr>
        <w:spacing w:after="0"/>
        <w:jc w:val="both"/>
        <w:rPr>
          <w:rFonts w:ascii="Cambria" w:hAnsi="Cambria"/>
        </w:rPr>
      </w:pPr>
      <w:r>
        <w:rPr>
          <w:rFonts w:ascii="Cambria" w:hAnsi="Cambria"/>
        </w:rPr>
        <w:t xml:space="preserve">Consecuencias a mediano plazo: </w:t>
      </w:r>
      <w:r w:rsidRPr="00D86E5F">
        <w:rPr>
          <w:rFonts w:ascii="Cambria" w:hAnsi="Cambria"/>
        </w:rPr>
        <w:t>Explica los efectos que se desarrollaron poco después del evento, a lo largo de meses o años. Pueden ser políticas, sociales, económicas, etc.</w:t>
      </w:r>
    </w:p>
    <w:p w14:paraId="5870CFC6" w14:textId="071C5742" w:rsidR="00D86E5F" w:rsidRDefault="00D86E5F" w:rsidP="00D86E5F">
      <w:pPr>
        <w:pStyle w:val="Prrafodelista"/>
        <w:numPr>
          <w:ilvl w:val="0"/>
          <w:numId w:val="3"/>
        </w:numPr>
        <w:spacing w:after="0"/>
        <w:jc w:val="both"/>
        <w:rPr>
          <w:rFonts w:ascii="Cambria" w:hAnsi="Cambria"/>
        </w:rPr>
      </w:pPr>
      <w:r>
        <w:rPr>
          <w:rFonts w:ascii="Cambria" w:hAnsi="Cambria"/>
        </w:rPr>
        <w:t xml:space="preserve">Consecuencias a largo plazo: </w:t>
      </w:r>
      <w:r w:rsidRPr="00D86E5F">
        <w:rPr>
          <w:rFonts w:ascii="Cambria" w:hAnsi="Cambria"/>
        </w:rPr>
        <w:t>Aquí debes abordar los efectos más duraderos que aún impactan el mundo o el área de estudio en cuestión. Estas consecuencias suelen tener una influencia más profunda.</w:t>
      </w:r>
    </w:p>
    <w:p w14:paraId="182BFD54" w14:textId="2FD66AAF" w:rsidR="00DB274E" w:rsidRDefault="005C798A" w:rsidP="00DB274E">
      <w:pPr>
        <w:spacing w:after="0"/>
        <w:jc w:val="both"/>
        <w:rPr>
          <w:rFonts w:ascii="Cambria" w:hAnsi="Cambria"/>
          <w:sz w:val="20"/>
          <w:szCs w:val="20"/>
        </w:rPr>
      </w:pPr>
      <w:r>
        <w:rPr>
          <w:rFonts w:ascii="Cambria" w:hAnsi="Cambria"/>
          <w:sz w:val="20"/>
          <w:szCs w:val="20"/>
        </w:rPr>
        <w:t>Fuente 1:</w:t>
      </w:r>
    </w:p>
    <w:p w14:paraId="32A58441" w14:textId="0AF697BD" w:rsidR="005C798A" w:rsidRDefault="005C798A" w:rsidP="00DB274E">
      <w:pPr>
        <w:spacing w:after="0"/>
        <w:jc w:val="both"/>
        <w:rPr>
          <w:rFonts w:ascii="Cambria" w:hAnsi="Cambria"/>
          <w:sz w:val="20"/>
          <w:szCs w:val="20"/>
        </w:rPr>
      </w:pPr>
      <w:r>
        <w:rPr>
          <w:rFonts w:ascii="Cambria" w:hAnsi="Cambria"/>
          <w:sz w:val="20"/>
          <w:szCs w:val="20"/>
        </w:rPr>
        <w:t>“Solo en 1915, Francia tuvo hasta 1.500.000 bajas entre muertos y heridos; Gran Bretaña 300.000 y Alemania 875.000. En términos relativos, Francia sufrió un 16,8% de bajas entre sus movilizados, por el 15,4% de Alemania. En Francia, el número de heridos respecto a los totales de movilización se acerca al 40%. Una gigantesca proporción de la población masculina entre 15 y 49 años se hizo soldado: cerca del 80% en Alemania y Francia</w:t>
      </w:r>
      <w:r w:rsidR="005D5A2D">
        <w:rPr>
          <w:rFonts w:ascii="Cambria" w:hAnsi="Cambria"/>
          <w:sz w:val="20"/>
          <w:szCs w:val="20"/>
        </w:rPr>
        <w:t>, 75% en Austria-Hungría, entre el 50% y el 60% en el Reino Unido, Serbia y el Imperio Otomano, y el 40% en Rusia. De ellos, unos 9 millones, la mitad, murieron, fueron herido o hechos prisioneros. Murió uno de cada tres serbios, uno de cada cuatro rumanos, turcos o búlgaros, uno de cada seis franceses y uno de cada ocho británicos”.</w:t>
      </w:r>
    </w:p>
    <w:p w14:paraId="63FA361B" w14:textId="5804CD2D" w:rsidR="005D5A2D" w:rsidRDefault="005D5A2D" w:rsidP="005D5A2D">
      <w:pPr>
        <w:spacing w:after="0"/>
        <w:jc w:val="right"/>
        <w:rPr>
          <w:rFonts w:ascii="Cambria" w:hAnsi="Cambria"/>
          <w:sz w:val="20"/>
          <w:szCs w:val="20"/>
        </w:rPr>
      </w:pPr>
      <w:r>
        <w:rPr>
          <w:rFonts w:ascii="Cambria" w:hAnsi="Cambria"/>
          <w:sz w:val="20"/>
          <w:szCs w:val="20"/>
        </w:rPr>
        <w:t xml:space="preserve">Rodrigo, J. (2014). </w:t>
      </w:r>
      <w:r w:rsidRPr="005D5A2D">
        <w:rPr>
          <w:rFonts w:ascii="Cambria" w:hAnsi="Cambria"/>
          <w:i/>
          <w:iCs/>
          <w:sz w:val="20"/>
          <w:szCs w:val="20"/>
        </w:rPr>
        <w:t>Su majestad la guerra</w:t>
      </w:r>
      <w:r>
        <w:rPr>
          <w:rFonts w:ascii="Cambria" w:hAnsi="Cambria"/>
          <w:sz w:val="20"/>
          <w:szCs w:val="20"/>
        </w:rPr>
        <w:t>.</w:t>
      </w:r>
    </w:p>
    <w:p w14:paraId="7860DC3F" w14:textId="52543BD1" w:rsidR="005D5A2D" w:rsidRDefault="005D5A2D" w:rsidP="005D5A2D">
      <w:pPr>
        <w:spacing w:after="0"/>
        <w:jc w:val="both"/>
        <w:rPr>
          <w:rFonts w:ascii="Cambria" w:hAnsi="Cambria"/>
          <w:sz w:val="20"/>
          <w:szCs w:val="20"/>
        </w:rPr>
      </w:pPr>
      <w:r>
        <w:rPr>
          <w:rFonts w:ascii="Cambria" w:hAnsi="Cambria"/>
          <w:sz w:val="20"/>
          <w:szCs w:val="20"/>
        </w:rPr>
        <w:t>Fuente 2:</w:t>
      </w:r>
    </w:p>
    <w:p w14:paraId="608B6B69" w14:textId="35D64318" w:rsidR="005D5A2D" w:rsidRDefault="005D5A2D" w:rsidP="005D5A2D">
      <w:pPr>
        <w:spacing w:after="0"/>
        <w:jc w:val="both"/>
        <w:rPr>
          <w:rFonts w:ascii="Cambria" w:hAnsi="Cambria"/>
          <w:sz w:val="20"/>
          <w:szCs w:val="20"/>
        </w:rPr>
      </w:pPr>
      <w:r>
        <w:rPr>
          <w:rFonts w:ascii="Cambria" w:hAnsi="Cambria"/>
          <w:sz w:val="20"/>
          <w:szCs w:val="20"/>
        </w:rPr>
        <w:t>“Las naciones que participaron de la guerra también debieron encontrar formas de prolongar este extraordinario nivel de gasto. Pidieron préstamos de los bonos de guerra y buscaron fuentes internacionales de financiamiento. Además, muchas naciones incrementaron sus tasas impositivas (porcentaje de impuesto o dinero que se paga al Estado) sobre ingresos. Los gobiernos también acudieron a entidades privadas para ayudarse a sobrellevar algunas de las cargas financieras”.</w:t>
      </w:r>
    </w:p>
    <w:p w14:paraId="50A57C8C" w14:textId="20B01603" w:rsidR="005D5A2D" w:rsidRDefault="005D5A2D" w:rsidP="005D5A2D">
      <w:pPr>
        <w:spacing w:after="0"/>
        <w:jc w:val="right"/>
        <w:rPr>
          <w:rFonts w:ascii="Cambria" w:hAnsi="Cambria"/>
          <w:sz w:val="20"/>
          <w:szCs w:val="20"/>
        </w:rPr>
      </w:pPr>
      <w:r>
        <w:rPr>
          <w:rFonts w:ascii="Cambria" w:hAnsi="Cambria"/>
          <w:sz w:val="20"/>
          <w:szCs w:val="20"/>
        </w:rPr>
        <w:t xml:space="preserve">Byrd, B. (2014). </w:t>
      </w:r>
      <w:r w:rsidRPr="005D5A2D">
        <w:rPr>
          <w:rFonts w:ascii="Cambria" w:hAnsi="Cambria"/>
          <w:i/>
          <w:iCs/>
          <w:sz w:val="20"/>
          <w:szCs w:val="20"/>
        </w:rPr>
        <w:t>Capitalismo y la Primera Guerra Mundial</w:t>
      </w:r>
      <w:r>
        <w:rPr>
          <w:rFonts w:ascii="Cambria" w:hAnsi="Cambria"/>
          <w:sz w:val="20"/>
          <w:szCs w:val="20"/>
        </w:rPr>
        <w:t>.</w:t>
      </w:r>
    </w:p>
    <w:p w14:paraId="35553523" w14:textId="77777777" w:rsidR="000248E3" w:rsidRDefault="000248E3" w:rsidP="005D5A2D">
      <w:pPr>
        <w:spacing w:after="0"/>
        <w:jc w:val="both"/>
        <w:rPr>
          <w:rFonts w:ascii="Cambria" w:hAnsi="Cambria"/>
          <w:sz w:val="20"/>
          <w:szCs w:val="20"/>
        </w:rPr>
      </w:pPr>
    </w:p>
    <w:p w14:paraId="70023426" w14:textId="77777777" w:rsidR="000248E3" w:rsidRDefault="000248E3" w:rsidP="005D5A2D">
      <w:pPr>
        <w:spacing w:after="0"/>
        <w:jc w:val="both"/>
        <w:rPr>
          <w:rFonts w:ascii="Cambria" w:hAnsi="Cambria"/>
          <w:sz w:val="20"/>
          <w:szCs w:val="20"/>
        </w:rPr>
      </w:pPr>
    </w:p>
    <w:p w14:paraId="124C1FF7" w14:textId="77777777" w:rsidR="000248E3" w:rsidRDefault="000248E3" w:rsidP="005D5A2D">
      <w:pPr>
        <w:spacing w:after="0"/>
        <w:jc w:val="both"/>
        <w:rPr>
          <w:rFonts w:ascii="Cambria" w:hAnsi="Cambria"/>
          <w:sz w:val="20"/>
          <w:szCs w:val="20"/>
        </w:rPr>
      </w:pPr>
    </w:p>
    <w:p w14:paraId="120091E2" w14:textId="77777777" w:rsidR="000248E3" w:rsidRDefault="000248E3" w:rsidP="005D5A2D">
      <w:pPr>
        <w:spacing w:after="0"/>
        <w:jc w:val="both"/>
        <w:rPr>
          <w:rFonts w:ascii="Cambria" w:hAnsi="Cambria"/>
          <w:sz w:val="20"/>
          <w:szCs w:val="20"/>
        </w:rPr>
      </w:pPr>
    </w:p>
    <w:p w14:paraId="77A2199F" w14:textId="0D730E84" w:rsidR="005D5A2D" w:rsidRDefault="005D5A2D" w:rsidP="005D5A2D">
      <w:pPr>
        <w:spacing w:after="0"/>
        <w:jc w:val="both"/>
        <w:rPr>
          <w:rFonts w:ascii="Cambria" w:hAnsi="Cambria"/>
          <w:sz w:val="20"/>
          <w:szCs w:val="20"/>
        </w:rPr>
      </w:pPr>
      <w:r>
        <w:rPr>
          <w:rFonts w:ascii="Cambria" w:hAnsi="Cambria"/>
          <w:sz w:val="20"/>
          <w:szCs w:val="20"/>
        </w:rPr>
        <w:t>Fuente 3:</w:t>
      </w:r>
    </w:p>
    <w:p w14:paraId="4B9A3B8E" w14:textId="5DB3F918" w:rsidR="005D5A2D" w:rsidRDefault="005D5A2D" w:rsidP="005D5A2D">
      <w:pPr>
        <w:spacing w:after="0"/>
        <w:jc w:val="both"/>
        <w:rPr>
          <w:rFonts w:ascii="Cambria" w:hAnsi="Cambria"/>
          <w:sz w:val="20"/>
          <w:szCs w:val="20"/>
        </w:rPr>
      </w:pPr>
      <w:r>
        <w:rPr>
          <w:rFonts w:ascii="Cambria" w:hAnsi="Cambria"/>
          <w:sz w:val="20"/>
          <w:szCs w:val="20"/>
        </w:rPr>
        <w:t>“A finales de 1914 la población alemana sufría por el inmenso empeoramiento del abastecimiento. Por un lado, los precios de los alimentos subían como nunca, en Berlín alimentos de calidad más alta como la carne, mantequilla y huevos ya se volvieron alimentos de lujo. Por otro lado, también se notaba las dificultades con alimentos básicos como las patatas y verduras. Todas estas dificultades ya aparecieron a finales de 1914 y empeoraron mucho más por el año 1915”.</w:t>
      </w:r>
    </w:p>
    <w:p w14:paraId="19C383C5" w14:textId="2D425E26" w:rsidR="005D5A2D" w:rsidRDefault="005D5A2D" w:rsidP="005D5A2D">
      <w:pPr>
        <w:spacing w:after="0"/>
        <w:jc w:val="right"/>
        <w:rPr>
          <w:rFonts w:ascii="Cambria" w:hAnsi="Cambria"/>
          <w:sz w:val="20"/>
          <w:szCs w:val="20"/>
        </w:rPr>
      </w:pPr>
      <w:proofErr w:type="spellStart"/>
      <w:r>
        <w:rPr>
          <w:rFonts w:ascii="Cambria" w:hAnsi="Cambria"/>
          <w:sz w:val="20"/>
          <w:szCs w:val="20"/>
        </w:rPr>
        <w:t>Mertín</w:t>
      </w:r>
      <w:proofErr w:type="spellEnd"/>
      <w:r>
        <w:rPr>
          <w:rFonts w:ascii="Cambria" w:hAnsi="Cambria"/>
          <w:sz w:val="20"/>
          <w:szCs w:val="20"/>
        </w:rPr>
        <w:t xml:space="preserve">, C. (2016). </w:t>
      </w:r>
      <w:r w:rsidRPr="005D5A2D">
        <w:rPr>
          <w:rFonts w:ascii="Cambria" w:hAnsi="Cambria"/>
          <w:i/>
          <w:iCs/>
          <w:sz w:val="20"/>
          <w:szCs w:val="20"/>
        </w:rPr>
        <w:t>El hambre en Alemania entre 1914 y 1918</w:t>
      </w:r>
      <w:r>
        <w:rPr>
          <w:rFonts w:ascii="Cambria" w:hAnsi="Cambria"/>
          <w:sz w:val="20"/>
          <w:szCs w:val="20"/>
        </w:rPr>
        <w:t>.</w:t>
      </w:r>
    </w:p>
    <w:p w14:paraId="5A84A9F1" w14:textId="60FA1F14" w:rsidR="005D5A2D" w:rsidRDefault="00520667" w:rsidP="00520667">
      <w:pPr>
        <w:spacing w:after="0"/>
        <w:jc w:val="both"/>
        <w:rPr>
          <w:rFonts w:ascii="Cambria" w:hAnsi="Cambria"/>
          <w:sz w:val="20"/>
          <w:szCs w:val="20"/>
        </w:rPr>
      </w:pPr>
      <w:r>
        <w:rPr>
          <w:rFonts w:ascii="Cambria" w:hAnsi="Cambria"/>
          <w:sz w:val="20"/>
          <w:szCs w:val="20"/>
        </w:rPr>
        <w:t>Fuente 4:</w:t>
      </w:r>
    </w:p>
    <w:p w14:paraId="3D3BF0B5" w14:textId="39F98D91" w:rsidR="00520667" w:rsidRDefault="00520667" w:rsidP="00520667">
      <w:pPr>
        <w:spacing w:after="0"/>
        <w:jc w:val="both"/>
        <w:rPr>
          <w:rFonts w:ascii="Cambria" w:hAnsi="Cambria"/>
          <w:sz w:val="20"/>
          <w:szCs w:val="20"/>
        </w:rPr>
      </w:pPr>
      <w:r>
        <w:rPr>
          <w:rFonts w:ascii="Cambria" w:hAnsi="Cambria"/>
          <w:sz w:val="20"/>
          <w:szCs w:val="20"/>
        </w:rPr>
        <w:t xml:space="preserve">“Los gobiernos animaron a las mujeres a ocupar el lugar de los hombres. Cerca de 700.000 francesas trabajaban en las fábricas de munición, y en el caso de las inglesas, la cifra llegó a casi un millón. El número de mujeres se duplicó en muchos sectores productivos. 80.000 mujeres se enrolaron como auxiliares en las Fuerzas Armadas británicas. En Rusia, las mujeres formaron unidades de combate y hubo batallones exclusivamente femeninos, como el célebre Batallón de la Muerte de Mujeres, creado por María </w:t>
      </w:r>
      <w:proofErr w:type="spellStart"/>
      <w:r>
        <w:rPr>
          <w:rFonts w:ascii="Cambria" w:hAnsi="Cambria"/>
          <w:sz w:val="20"/>
          <w:szCs w:val="20"/>
        </w:rPr>
        <w:t>Bochkarinova</w:t>
      </w:r>
      <w:proofErr w:type="spellEnd"/>
      <w:r>
        <w:rPr>
          <w:rFonts w:ascii="Cambria" w:hAnsi="Cambria"/>
          <w:sz w:val="20"/>
          <w:szCs w:val="20"/>
        </w:rPr>
        <w:t>. Los años de guerra sacaron a las mujeres mejor preparadas</w:t>
      </w:r>
      <w:r w:rsidR="00A469DA">
        <w:rPr>
          <w:rFonts w:ascii="Cambria" w:hAnsi="Cambria"/>
          <w:sz w:val="20"/>
          <w:szCs w:val="20"/>
        </w:rPr>
        <w:t xml:space="preserve"> de sus hogares, pero su recién estrenada autonomía permitió otros cambios, las faldas subieron más arriba de los tobillos, el corsé desapareció y las melenas dieron paso al pelo corto. Maquillarse, fumar y beber en público o asistir a bailes y fiestas eran cosas que también podían hacer ahora las mujeres ‘respetables’. A partir de 1918, los gobiernos animaron a las mujeres a dejar sus puestos de trabajo para que pudieran ser recuperados por los hombres que volvían del frente. Animaron, pero también sancionaron a las resistentes”.</w:t>
      </w:r>
    </w:p>
    <w:p w14:paraId="165CDAE1" w14:textId="18440640" w:rsidR="00A469DA" w:rsidRDefault="00A469DA" w:rsidP="00A469DA">
      <w:pPr>
        <w:spacing w:after="0"/>
        <w:jc w:val="right"/>
        <w:rPr>
          <w:rFonts w:ascii="Cambria" w:hAnsi="Cambria"/>
          <w:sz w:val="20"/>
          <w:szCs w:val="20"/>
        </w:rPr>
      </w:pPr>
      <w:r>
        <w:rPr>
          <w:rFonts w:ascii="Cambria" w:hAnsi="Cambria"/>
          <w:sz w:val="20"/>
          <w:szCs w:val="20"/>
        </w:rPr>
        <w:t xml:space="preserve">Venegas, L. (2019). </w:t>
      </w:r>
      <w:r w:rsidRPr="00A469DA">
        <w:rPr>
          <w:rFonts w:ascii="Cambria" w:hAnsi="Cambria"/>
          <w:i/>
          <w:iCs/>
          <w:sz w:val="20"/>
          <w:szCs w:val="20"/>
        </w:rPr>
        <w:t>La guerra más larga de la historia</w:t>
      </w:r>
      <w:r>
        <w:rPr>
          <w:rFonts w:ascii="Cambria" w:hAnsi="Cambria"/>
          <w:sz w:val="20"/>
          <w:szCs w:val="20"/>
        </w:rPr>
        <w:t>.</w:t>
      </w:r>
    </w:p>
    <w:p w14:paraId="03AF2B3E" w14:textId="77777777" w:rsidR="00A469DA" w:rsidRPr="005C798A" w:rsidRDefault="00A469DA" w:rsidP="00A469DA">
      <w:pPr>
        <w:spacing w:after="0"/>
        <w:jc w:val="both"/>
        <w:rPr>
          <w:rFonts w:ascii="Cambria" w:hAnsi="Cambria"/>
          <w:sz w:val="20"/>
          <w:szCs w:val="20"/>
        </w:rPr>
      </w:pPr>
    </w:p>
    <w:sectPr w:rsidR="00A469DA" w:rsidRPr="005C798A">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3C138" w14:textId="77777777" w:rsidR="00166919" w:rsidRDefault="00166919" w:rsidP="007479E8">
      <w:pPr>
        <w:spacing w:after="0" w:line="240" w:lineRule="auto"/>
      </w:pPr>
      <w:r>
        <w:separator/>
      </w:r>
    </w:p>
  </w:endnote>
  <w:endnote w:type="continuationSeparator" w:id="0">
    <w:p w14:paraId="0E585EC3" w14:textId="77777777" w:rsidR="00166919" w:rsidRDefault="00166919" w:rsidP="0074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51E99" w14:textId="77777777" w:rsidR="00166919" w:rsidRDefault="00166919" w:rsidP="007479E8">
      <w:pPr>
        <w:spacing w:after="0" w:line="240" w:lineRule="auto"/>
      </w:pPr>
      <w:r>
        <w:separator/>
      </w:r>
    </w:p>
  </w:footnote>
  <w:footnote w:type="continuationSeparator" w:id="0">
    <w:p w14:paraId="7803585A" w14:textId="77777777" w:rsidR="00166919" w:rsidRDefault="00166919" w:rsidP="00747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4BCA" w14:textId="516868AF" w:rsidR="007479E8" w:rsidRDefault="007479E8">
    <w:pPr>
      <w:pStyle w:val="Encabezado"/>
    </w:pPr>
    <w:r>
      <w:rPr>
        <w:noProof/>
      </w:rPr>
      <mc:AlternateContent>
        <mc:Choice Requires="wps">
          <w:drawing>
            <wp:anchor distT="0" distB="0" distL="114300" distR="114300" simplePos="0" relativeHeight="251661312" behindDoc="0" locked="0" layoutInCell="1" allowOverlap="1" wp14:anchorId="2D84D2CC" wp14:editId="5BB97DE3">
              <wp:simplePos x="0" y="0"/>
              <wp:positionH relativeFrom="column">
                <wp:posOffset>4435813</wp:posOffset>
              </wp:positionH>
              <wp:positionV relativeFrom="paragraph">
                <wp:posOffset>-163613</wp:posOffset>
              </wp:positionV>
              <wp:extent cx="1905000" cy="605790"/>
              <wp:effectExtent l="0" t="0" r="0" b="0"/>
              <wp:wrapNone/>
              <wp:docPr id="105239021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36292956" w14:textId="77777777" w:rsidR="007479E8" w:rsidRPr="00732B2B" w:rsidRDefault="007479E8" w:rsidP="007479E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4238E60" w14:textId="77777777" w:rsidR="007479E8" w:rsidRPr="00732B2B" w:rsidRDefault="007479E8" w:rsidP="007479E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319D350" w14:textId="77777777" w:rsidR="007479E8" w:rsidRPr="00732B2B" w:rsidRDefault="007479E8" w:rsidP="007479E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D84D2CC" id="_x0000_t202" coordsize="21600,21600" o:spt="202" path="m,l,21600r21600,l21600,xe">
              <v:stroke joinstyle="miter"/>
              <v:path gradientshapeok="t" o:connecttype="rect"/>
            </v:shapetype>
            <v:shape id="Cuadro de texto 3" o:spid="_x0000_s1026" type="#_x0000_t202" style="position:absolute;margin-left:349.3pt;margin-top:-12.9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" filled="f" stroked="f">
              <v:textbox style="mso-fit-shape-to-text:t">
                <w:txbxContent>
                  <w:p w14:paraId="36292956" w14:textId="77777777" w:rsidR="007479E8" w:rsidRPr="00732B2B" w:rsidRDefault="007479E8" w:rsidP="007479E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4238E60" w14:textId="77777777" w:rsidR="007479E8" w:rsidRPr="00732B2B" w:rsidRDefault="007479E8" w:rsidP="007479E8">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4319D350" w14:textId="77777777" w:rsidR="007479E8" w:rsidRPr="00732B2B" w:rsidRDefault="007479E8" w:rsidP="007479E8">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ECA94B7" wp14:editId="2684523C">
              <wp:simplePos x="0" y="0"/>
              <wp:positionH relativeFrom="column">
                <wp:posOffset>-787940</wp:posOffset>
              </wp:positionH>
              <wp:positionV relativeFrom="paragraph">
                <wp:posOffset>-239165</wp:posOffset>
              </wp:positionV>
              <wp:extent cx="2040890" cy="676275"/>
              <wp:effectExtent l="0" t="0" r="0" b="0"/>
              <wp:wrapNone/>
              <wp:docPr id="143956618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CA50F48" w14:textId="77777777" w:rsidR="007479E8" w:rsidRDefault="007479E8" w:rsidP="007479E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3480EE8" w14:textId="77777777" w:rsidR="007479E8" w:rsidRDefault="007479E8" w:rsidP="007479E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E709446" w14:textId="77777777" w:rsidR="007479E8" w:rsidRDefault="007479E8" w:rsidP="007479E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C8827AF" wp14:editId="4E674A5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ECA94B7" id="Cuadro de texto 1" o:spid="_x0000_s1027" type="#_x0000_t202" style="position:absolute;margin-left:-62.05pt;margin-top:-18.8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" filled="f" stroked="f">
              <v:textbox inset="0,0,0,0">
                <w:txbxContent>
                  <w:p w14:paraId="1CA50F48" w14:textId="77777777" w:rsidR="007479E8" w:rsidRDefault="007479E8" w:rsidP="007479E8">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3480EE8" w14:textId="77777777" w:rsidR="007479E8" w:rsidRDefault="007479E8" w:rsidP="007479E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E709446" w14:textId="77777777" w:rsidR="007479E8" w:rsidRDefault="007479E8" w:rsidP="007479E8">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C8827AF" wp14:editId="4E674A54">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12B0C"/>
    <w:multiLevelType w:val="hybridMultilevel"/>
    <w:tmpl w:val="64381EB6"/>
    <w:lvl w:ilvl="0" w:tplc="5922D086">
      <w:start w:val="2"/>
      <w:numFmt w:val="bullet"/>
      <w:lvlText w:val=""/>
      <w:lvlJc w:val="left"/>
      <w:pPr>
        <w:ind w:left="1440" w:hanging="360"/>
      </w:pPr>
      <w:rPr>
        <w:rFonts w:ascii="Symbol" w:eastAsiaTheme="minorHAnsi" w:hAnsi="Symbol" w:cstheme="minorBid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6A092C14"/>
    <w:multiLevelType w:val="hybridMultilevel"/>
    <w:tmpl w:val="F050E538"/>
    <w:lvl w:ilvl="0" w:tplc="502633A0">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76034175">
    <w:abstractNumId w:val="2"/>
  </w:num>
  <w:num w:numId="2" w16cid:durableId="284581831">
    <w:abstractNumId w:val="1"/>
  </w:num>
  <w:num w:numId="3" w16cid:durableId="72175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5F"/>
    <w:rsid w:val="000248E3"/>
    <w:rsid w:val="000575A8"/>
    <w:rsid w:val="00166919"/>
    <w:rsid w:val="003F6DD0"/>
    <w:rsid w:val="004B6D70"/>
    <w:rsid w:val="00500551"/>
    <w:rsid w:val="00520667"/>
    <w:rsid w:val="005206A2"/>
    <w:rsid w:val="005C798A"/>
    <w:rsid w:val="005D5A2D"/>
    <w:rsid w:val="007328DD"/>
    <w:rsid w:val="007479E8"/>
    <w:rsid w:val="007A3571"/>
    <w:rsid w:val="008E55F3"/>
    <w:rsid w:val="009D1EB1"/>
    <w:rsid w:val="00A469DA"/>
    <w:rsid w:val="00A970F6"/>
    <w:rsid w:val="00D86E5F"/>
    <w:rsid w:val="00D97F4C"/>
    <w:rsid w:val="00DB2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5E0A2"/>
  <w15:chartTrackingRefBased/>
  <w15:docId w15:val="{EAD96EA2-70B2-4C38-BAD9-0DCDFE3D9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D86E5F"/>
    <w:rPr>
      <w:kern w:val="0"/>
      <w:lang w:val="es-CL"/>
    </w:rPr>
  </w:style>
  <w:style w:type="paragraph" w:styleId="Ttulo1">
    <w:name w:val="heading 1"/>
    <w:basedOn w:val="Normal"/>
    <w:next w:val="Normal"/>
    <w:link w:val="Ttulo1Car"/>
    <w:uiPriority w:val="9"/>
    <w:qFormat/>
    <w:rsid w:val="00D86E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86E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86E5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86E5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86E5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86E5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86E5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86E5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86E5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86E5F"/>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D86E5F"/>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D86E5F"/>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D86E5F"/>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D86E5F"/>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D86E5F"/>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D86E5F"/>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D86E5F"/>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D86E5F"/>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D86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86E5F"/>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D86E5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86E5F"/>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D86E5F"/>
    <w:pPr>
      <w:spacing w:before="160"/>
      <w:jc w:val="center"/>
    </w:pPr>
    <w:rPr>
      <w:i/>
      <w:iCs/>
      <w:color w:val="404040" w:themeColor="text1" w:themeTint="BF"/>
    </w:rPr>
  </w:style>
  <w:style w:type="character" w:customStyle="1" w:styleId="CitaCar">
    <w:name w:val="Cita Car"/>
    <w:basedOn w:val="Fuentedeprrafopredeter"/>
    <w:link w:val="Cita"/>
    <w:uiPriority w:val="29"/>
    <w:rsid w:val="00D86E5F"/>
    <w:rPr>
      <w:rFonts w:ascii="Cambria" w:hAnsi="Cambria"/>
      <w:i/>
      <w:iCs/>
      <w:color w:val="404040" w:themeColor="text1" w:themeTint="BF"/>
      <w:kern w:val="0"/>
      <w:lang w:val="es-CL"/>
    </w:rPr>
  </w:style>
  <w:style w:type="paragraph" w:styleId="Prrafodelista">
    <w:name w:val="List Paragraph"/>
    <w:basedOn w:val="Normal"/>
    <w:uiPriority w:val="34"/>
    <w:qFormat/>
    <w:rsid w:val="00D86E5F"/>
    <w:pPr>
      <w:ind w:left="720"/>
      <w:contextualSpacing/>
    </w:pPr>
  </w:style>
  <w:style w:type="character" w:styleId="nfasisintenso">
    <w:name w:val="Intense Emphasis"/>
    <w:basedOn w:val="Fuentedeprrafopredeter"/>
    <w:uiPriority w:val="21"/>
    <w:qFormat/>
    <w:rsid w:val="00D86E5F"/>
    <w:rPr>
      <w:i/>
      <w:iCs/>
      <w:color w:val="0F4761" w:themeColor="accent1" w:themeShade="BF"/>
    </w:rPr>
  </w:style>
  <w:style w:type="paragraph" w:styleId="Citadestacada">
    <w:name w:val="Intense Quote"/>
    <w:basedOn w:val="Normal"/>
    <w:next w:val="Normal"/>
    <w:link w:val="CitadestacadaCar"/>
    <w:uiPriority w:val="30"/>
    <w:qFormat/>
    <w:rsid w:val="00D86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86E5F"/>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D86E5F"/>
    <w:rPr>
      <w:b/>
      <w:bCs/>
      <w:smallCaps/>
      <w:color w:val="0F4761" w:themeColor="accent1" w:themeShade="BF"/>
      <w:spacing w:val="5"/>
    </w:rPr>
  </w:style>
  <w:style w:type="table" w:styleId="Tablaconcuadrcula">
    <w:name w:val="Table Grid"/>
    <w:basedOn w:val="Tablanormal"/>
    <w:uiPriority w:val="39"/>
    <w:rsid w:val="00D86E5F"/>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79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479E8"/>
    <w:rPr>
      <w:kern w:val="0"/>
      <w:lang w:val="es-CL"/>
    </w:rPr>
  </w:style>
  <w:style w:type="paragraph" w:styleId="Piedepgina">
    <w:name w:val="footer"/>
    <w:basedOn w:val="Normal"/>
    <w:link w:val="PiedepginaCar"/>
    <w:uiPriority w:val="99"/>
    <w:unhideWhenUsed/>
    <w:rsid w:val="007479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479E8"/>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3692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2025-03-14T13:57:00Z</cp:lastPrinted>
  <dcterms:created xsi:type="dcterms:W3CDTF">2025-03-14T13:58:00Z</dcterms:created>
  <dcterms:modified xsi:type="dcterms:W3CDTF">2025-03-14T13:58:00Z</dcterms:modified>
</cp:coreProperties>
</file>