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2979D" w14:textId="121F1BBD" w:rsidR="00F23A12" w:rsidRPr="00BD5D09" w:rsidRDefault="00F23A12" w:rsidP="00F23A12">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5</w:t>
      </w:r>
    </w:p>
    <w:p w14:paraId="2E8F4910" w14:textId="05A42F47" w:rsidR="00F23A12" w:rsidRPr="00BD5D09" w:rsidRDefault="00F23A12" w:rsidP="00F23A12">
      <w:pPr>
        <w:jc w:val="center"/>
        <w:rPr>
          <w:rFonts w:ascii="Cambria" w:hAnsi="Cambria"/>
          <w:b/>
          <w:bCs/>
          <w:u w:val="single"/>
        </w:rPr>
      </w:pPr>
      <w:r>
        <w:rPr>
          <w:rFonts w:ascii="Cambria" w:hAnsi="Cambria"/>
          <w:b/>
          <w:bCs/>
          <w:u w:val="single"/>
        </w:rPr>
        <w:t>INFLACIÓN</w:t>
      </w:r>
    </w:p>
    <w:tbl>
      <w:tblPr>
        <w:tblStyle w:val="Tablaconcuadrcula"/>
        <w:tblW w:w="0" w:type="auto"/>
        <w:tblLook w:val="04A0" w:firstRow="1" w:lastRow="0" w:firstColumn="1" w:lastColumn="0" w:noHBand="0" w:noVBand="1"/>
      </w:tblPr>
      <w:tblGrid>
        <w:gridCol w:w="2215"/>
        <w:gridCol w:w="2190"/>
        <w:gridCol w:w="2222"/>
        <w:gridCol w:w="2201"/>
      </w:tblGrid>
      <w:tr w:rsidR="00614100" w14:paraId="42BB2F15" w14:textId="77777777" w:rsidTr="00303DF8">
        <w:tc>
          <w:tcPr>
            <w:tcW w:w="2244" w:type="dxa"/>
          </w:tcPr>
          <w:p w14:paraId="0129FAC3" w14:textId="02833DE9" w:rsidR="00614100" w:rsidRDefault="00614100" w:rsidP="00614100">
            <w:pPr>
              <w:jc w:val="both"/>
              <w:rPr>
                <w:rFonts w:ascii="Cambria" w:hAnsi="Cambria"/>
                <w:b/>
                <w:bCs/>
              </w:rPr>
            </w:pPr>
            <w:r>
              <w:rPr>
                <w:rFonts w:ascii="Cambria" w:hAnsi="Cambria"/>
                <w:b/>
                <w:bCs/>
              </w:rPr>
              <w:t>Nombre</w:t>
            </w:r>
          </w:p>
        </w:tc>
        <w:tc>
          <w:tcPr>
            <w:tcW w:w="6734" w:type="dxa"/>
            <w:gridSpan w:val="3"/>
          </w:tcPr>
          <w:p w14:paraId="3880DD6B" w14:textId="77777777" w:rsidR="00614100" w:rsidRDefault="00614100" w:rsidP="00614100">
            <w:pPr>
              <w:jc w:val="both"/>
              <w:rPr>
                <w:rFonts w:ascii="Cambria" w:hAnsi="Cambria"/>
                <w:b/>
                <w:bCs/>
              </w:rPr>
            </w:pPr>
          </w:p>
        </w:tc>
      </w:tr>
      <w:tr w:rsidR="00614100" w14:paraId="3E6DB729" w14:textId="77777777" w:rsidTr="00614100">
        <w:tc>
          <w:tcPr>
            <w:tcW w:w="2244" w:type="dxa"/>
          </w:tcPr>
          <w:p w14:paraId="220A10F9" w14:textId="01BA1D13" w:rsidR="00614100" w:rsidRDefault="00614100" w:rsidP="00614100">
            <w:pPr>
              <w:jc w:val="both"/>
              <w:rPr>
                <w:rFonts w:ascii="Cambria" w:hAnsi="Cambria"/>
                <w:b/>
                <w:bCs/>
              </w:rPr>
            </w:pPr>
            <w:r>
              <w:rPr>
                <w:rFonts w:ascii="Cambria" w:hAnsi="Cambria"/>
                <w:b/>
                <w:bCs/>
              </w:rPr>
              <w:t>Fecha</w:t>
            </w:r>
          </w:p>
        </w:tc>
        <w:tc>
          <w:tcPr>
            <w:tcW w:w="2244" w:type="dxa"/>
          </w:tcPr>
          <w:p w14:paraId="7739D9D9" w14:textId="77777777" w:rsidR="00614100" w:rsidRDefault="00614100" w:rsidP="00614100">
            <w:pPr>
              <w:jc w:val="both"/>
              <w:rPr>
                <w:rFonts w:ascii="Cambria" w:hAnsi="Cambria"/>
                <w:b/>
                <w:bCs/>
              </w:rPr>
            </w:pPr>
          </w:p>
        </w:tc>
        <w:tc>
          <w:tcPr>
            <w:tcW w:w="2245" w:type="dxa"/>
          </w:tcPr>
          <w:p w14:paraId="01675F49" w14:textId="7590F511" w:rsidR="00614100" w:rsidRDefault="00614100" w:rsidP="00614100">
            <w:pPr>
              <w:jc w:val="both"/>
              <w:rPr>
                <w:rFonts w:ascii="Cambria" w:hAnsi="Cambria"/>
                <w:b/>
                <w:bCs/>
              </w:rPr>
            </w:pPr>
            <w:r>
              <w:rPr>
                <w:rFonts w:ascii="Cambria" w:hAnsi="Cambria"/>
                <w:b/>
                <w:bCs/>
              </w:rPr>
              <w:t>Puntaje total</w:t>
            </w:r>
          </w:p>
        </w:tc>
        <w:tc>
          <w:tcPr>
            <w:tcW w:w="2245" w:type="dxa"/>
          </w:tcPr>
          <w:p w14:paraId="75BF13F6" w14:textId="73BDFCC6" w:rsidR="00614100" w:rsidRDefault="00614100" w:rsidP="00614100">
            <w:pPr>
              <w:jc w:val="both"/>
              <w:rPr>
                <w:rFonts w:ascii="Cambria" w:hAnsi="Cambria"/>
                <w:b/>
                <w:bCs/>
              </w:rPr>
            </w:pPr>
            <w:r>
              <w:rPr>
                <w:rFonts w:ascii="Cambria" w:hAnsi="Cambria"/>
                <w:b/>
                <w:bCs/>
              </w:rPr>
              <w:t>15 pts.</w:t>
            </w:r>
          </w:p>
        </w:tc>
      </w:tr>
      <w:tr w:rsidR="00614100" w14:paraId="791A9FB7" w14:textId="77777777" w:rsidTr="00614100">
        <w:tc>
          <w:tcPr>
            <w:tcW w:w="2244" w:type="dxa"/>
          </w:tcPr>
          <w:p w14:paraId="28A971EC" w14:textId="2856E8FD" w:rsidR="00614100" w:rsidRDefault="00614100" w:rsidP="00614100">
            <w:pPr>
              <w:jc w:val="both"/>
              <w:rPr>
                <w:rFonts w:ascii="Cambria" w:hAnsi="Cambria"/>
                <w:b/>
                <w:bCs/>
              </w:rPr>
            </w:pPr>
            <w:r>
              <w:rPr>
                <w:rFonts w:ascii="Cambria" w:hAnsi="Cambria"/>
                <w:b/>
                <w:bCs/>
              </w:rPr>
              <w:t>Puntaje obtenido</w:t>
            </w:r>
          </w:p>
        </w:tc>
        <w:tc>
          <w:tcPr>
            <w:tcW w:w="2244" w:type="dxa"/>
          </w:tcPr>
          <w:p w14:paraId="0784360B" w14:textId="77777777" w:rsidR="00614100" w:rsidRDefault="00614100" w:rsidP="00614100">
            <w:pPr>
              <w:jc w:val="both"/>
              <w:rPr>
                <w:rFonts w:ascii="Cambria" w:hAnsi="Cambria"/>
                <w:b/>
                <w:bCs/>
              </w:rPr>
            </w:pPr>
          </w:p>
        </w:tc>
        <w:tc>
          <w:tcPr>
            <w:tcW w:w="2245" w:type="dxa"/>
          </w:tcPr>
          <w:p w14:paraId="7619FD2A" w14:textId="1053D193" w:rsidR="00614100" w:rsidRDefault="00614100" w:rsidP="00614100">
            <w:pPr>
              <w:jc w:val="both"/>
              <w:rPr>
                <w:rFonts w:ascii="Cambria" w:hAnsi="Cambria"/>
                <w:b/>
                <w:bCs/>
              </w:rPr>
            </w:pPr>
            <w:r>
              <w:rPr>
                <w:rFonts w:ascii="Cambria" w:hAnsi="Cambria"/>
                <w:b/>
                <w:bCs/>
              </w:rPr>
              <w:t>Calificación</w:t>
            </w:r>
          </w:p>
        </w:tc>
        <w:tc>
          <w:tcPr>
            <w:tcW w:w="2245" w:type="dxa"/>
          </w:tcPr>
          <w:p w14:paraId="5E1224CC" w14:textId="77777777" w:rsidR="00614100" w:rsidRDefault="00614100" w:rsidP="00614100">
            <w:pPr>
              <w:jc w:val="both"/>
              <w:rPr>
                <w:rFonts w:ascii="Cambria" w:hAnsi="Cambria"/>
                <w:b/>
                <w:bCs/>
              </w:rPr>
            </w:pPr>
          </w:p>
        </w:tc>
      </w:tr>
    </w:tbl>
    <w:p w14:paraId="3000615A" w14:textId="419AD112" w:rsidR="00F23A12" w:rsidRPr="0004627A" w:rsidRDefault="00F23A12" w:rsidP="00F23A12">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Explicar la inflación a partir </w:t>
      </w:r>
      <w:r w:rsidRPr="0004627A">
        <w:rPr>
          <w:rFonts w:ascii="Cambria" w:hAnsi="Cambria"/>
          <w:b/>
          <w:bCs/>
        </w:rPr>
        <w:t xml:space="preserve">de </w:t>
      </w:r>
      <w:r>
        <w:rPr>
          <w:rFonts w:ascii="Cambria" w:hAnsi="Cambria"/>
          <w:b/>
          <w:bCs/>
        </w:rPr>
        <w:t>infografía</w:t>
      </w:r>
      <w:r w:rsidRPr="0004627A">
        <w:rPr>
          <w:rFonts w:ascii="Cambria" w:hAnsi="Cambria"/>
          <w:b/>
          <w:bCs/>
        </w:rPr>
        <w:t xml:space="preserve"> para demostrar una actitud propositiva para contribuir al desarrollo de la sociedad</w:t>
      </w:r>
    </w:p>
    <w:p w14:paraId="19A37916" w14:textId="77777777" w:rsidR="00F23A12" w:rsidRPr="0004627A" w:rsidRDefault="00F23A12" w:rsidP="00F23A12">
      <w:pPr>
        <w:spacing w:after="0"/>
        <w:jc w:val="both"/>
        <w:rPr>
          <w:rFonts w:ascii="Cambria" w:hAnsi="Cambria"/>
          <w:b/>
          <w:bCs/>
        </w:rPr>
      </w:pPr>
      <w:r w:rsidRPr="0004627A">
        <w:rPr>
          <w:rFonts w:ascii="Cambria" w:hAnsi="Cambria"/>
          <w:b/>
          <w:bCs/>
        </w:rPr>
        <w:t>Instrucciones:</w:t>
      </w:r>
    </w:p>
    <w:p w14:paraId="2F690E18" w14:textId="08DC0589" w:rsidR="00F23A12" w:rsidRPr="00F23A12" w:rsidRDefault="00F23A12" w:rsidP="00F23A12">
      <w:pPr>
        <w:pStyle w:val="Prrafodelista"/>
        <w:numPr>
          <w:ilvl w:val="0"/>
          <w:numId w:val="1"/>
        </w:numPr>
        <w:spacing w:after="0"/>
        <w:jc w:val="both"/>
      </w:pPr>
      <w:r>
        <w:rPr>
          <w:rFonts w:ascii="Cambria" w:hAnsi="Cambria"/>
        </w:rPr>
        <w:t>En parejas lean</w:t>
      </w:r>
      <w:r w:rsidRPr="0004627A">
        <w:rPr>
          <w:rFonts w:ascii="Cambria" w:hAnsi="Cambria"/>
        </w:rPr>
        <w:t xml:space="preserve"> las fuentes </w:t>
      </w:r>
      <w:r>
        <w:rPr>
          <w:rFonts w:ascii="Cambria" w:hAnsi="Cambria"/>
        </w:rPr>
        <w:t>y realicen una infografía sobre la inflación considerando los siguientes puntos:</w:t>
      </w:r>
    </w:p>
    <w:p w14:paraId="0413C1CC" w14:textId="509C54CB" w:rsidR="00F23A12" w:rsidRPr="00F23A12" w:rsidRDefault="00F23A12" w:rsidP="00F23A12">
      <w:pPr>
        <w:pStyle w:val="Prrafodelista"/>
        <w:numPr>
          <w:ilvl w:val="0"/>
          <w:numId w:val="2"/>
        </w:numPr>
        <w:spacing w:after="0"/>
        <w:jc w:val="both"/>
      </w:pPr>
      <w:r>
        <w:rPr>
          <w:rFonts w:ascii="Cambria" w:hAnsi="Cambria"/>
        </w:rPr>
        <w:t>Explica qué es la inflación y cómo afecta a las personas</w:t>
      </w:r>
    </w:p>
    <w:p w14:paraId="450C85FC" w14:textId="31C18E43" w:rsidR="00F23A12" w:rsidRPr="00F23A12" w:rsidRDefault="00F23A12" w:rsidP="00F23A12">
      <w:pPr>
        <w:pStyle w:val="Prrafodelista"/>
        <w:numPr>
          <w:ilvl w:val="0"/>
          <w:numId w:val="2"/>
        </w:numPr>
        <w:spacing w:after="0"/>
        <w:jc w:val="both"/>
      </w:pPr>
      <w:r>
        <w:rPr>
          <w:rFonts w:ascii="Cambria" w:hAnsi="Cambria"/>
        </w:rPr>
        <w:t>Identifica y explica mecanismos que pueden utilizar las familias para combatir la inflación</w:t>
      </w:r>
    </w:p>
    <w:p w14:paraId="3E4DA7F0" w14:textId="1F6C3EE8" w:rsidR="00F23A12" w:rsidRPr="00F23A12" w:rsidRDefault="00F23A12" w:rsidP="00F23A12">
      <w:pPr>
        <w:pStyle w:val="Prrafodelista"/>
        <w:numPr>
          <w:ilvl w:val="0"/>
          <w:numId w:val="2"/>
        </w:numPr>
        <w:spacing w:after="0"/>
        <w:jc w:val="both"/>
      </w:pPr>
      <w:r>
        <w:rPr>
          <w:rFonts w:ascii="Cambria" w:hAnsi="Cambria"/>
        </w:rPr>
        <w:t>Utiliza imágenes, signos y colores para resaltar las ideas</w:t>
      </w:r>
    </w:p>
    <w:p w14:paraId="7E94D6B0" w14:textId="4CD16D72" w:rsidR="00F23A12" w:rsidRDefault="00F23A12" w:rsidP="00F23A12">
      <w:pPr>
        <w:spacing w:after="0"/>
        <w:jc w:val="both"/>
        <w:rPr>
          <w:rFonts w:ascii="Cambria" w:hAnsi="Cambria"/>
          <w:sz w:val="20"/>
          <w:szCs w:val="20"/>
        </w:rPr>
      </w:pPr>
      <w:r>
        <w:rPr>
          <w:rFonts w:ascii="Cambria" w:hAnsi="Cambria"/>
          <w:sz w:val="20"/>
          <w:szCs w:val="20"/>
        </w:rPr>
        <w:t>Fuente 1:</w:t>
      </w:r>
    </w:p>
    <w:p w14:paraId="4B12ED8E" w14:textId="172EAB17" w:rsidR="00F23A12" w:rsidRPr="00F23A12" w:rsidRDefault="00F23A12" w:rsidP="00F23A12">
      <w:pPr>
        <w:spacing w:after="0"/>
        <w:jc w:val="both"/>
        <w:rPr>
          <w:rFonts w:ascii="Cambria" w:hAnsi="Cambria"/>
          <w:sz w:val="20"/>
          <w:szCs w:val="20"/>
        </w:rPr>
      </w:pPr>
      <w:r>
        <w:rPr>
          <w:rFonts w:ascii="Cambria" w:hAnsi="Cambria"/>
          <w:sz w:val="20"/>
          <w:szCs w:val="20"/>
        </w:rPr>
        <w:t>“</w:t>
      </w:r>
      <w:r w:rsidRPr="00F23A12">
        <w:rPr>
          <w:rFonts w:ascii="Cambria" w:hAnsi="Cambria"/>
          <w:sz w:val="20"/>
          <w:szCs w:val="20"/>
        </w:rPr>
        <w:t>La inflación es la subida generalizada de los precios de los bienes y servicios de una economía a lo largo de un periodo de tiempo. Este incremento de los precios se mide a través de la evolución del IPC.</w:t>
      </w:r>
    </w:p>
    <w:p w14:paraId="30303C00" w14:textId="77777777" w:rsidR="00F23A12" w:rsidRPr="00F23A12" w:rsidRDefault="00F23A12" w:rsidP="00F23A12">
      <w:pPr>
        <w:spacing w:after="0"/>
        <w:jc w:val="both"/>
        <w:rPr>
          <w:rFonts w:ascii="Cambria" w:hAnsi="Cambria"/>
          <w:sz w:val="20"/>
          <w:szCs w:val="20"/>
        </w:rPr>
      </w:pPr>
      <w:r w:rsidRPr="00F23A12">
        <w:rPr>
          <w:rFonts w:ascii="Cambria" w:hAnsi="Cambria"/>
          <w:sz w:val="20"/>
          <w:szCs w:val="20"/>
        </w:rPr>
        <w:t>La inflación es una de las variables macroeconómicas más importantes que tienen en cuenta los gobiernos a la hora de tomar decisiones de política económica, pues proporciona información sobre el comportamiento de una economía y ayuda a predecir su evolución futura.</w:t>
      </w:r>
    </w:p>
    <w:p w14:paraId="457A968E" w14:textId="2C6C639A" w:rsidR="00F23A12" w:rsidRDefault="00F23A12" w:rsidP="00F23A12">
      <w:pPr>
        <w:spacing w:after="0"/>
        <w:jc w:val="both"/>
        <w:rPr>
          <w:rFonts w:ascii="Cambria" w:hAnsi="Cambria"/>
          <w:sz w:val="20"/>
          <w:szCs w:val="20"/>
        </w:rPr>
      </w:pPr>
      <w:r w:rsidRPr="00F23A12">
        <w:rPr>
          <w:rFonts w:ascii="Cambria" w:hAnsi="Cambria"/>
          <w:sz w:val="20"/>
          <w:szCs w:val="20"/>
        </w:rPr>
        <w:t>La inflación supone la disminución del poder adquisitivo del dinero: el alza de los precios sostenido en el tiempo implica que, como todo es más caro, con la misma cantidad de dinero se puedan comprar menos bienes que antes</w:t>
      </w:r>
      <w:r>
        <w:rPr>
          <w:rFonts w:ascii="Cambria" w:hAnsi="Cambria"/>
          <w:sz w:val="20"/>
          <w:szCs w:val="20"/>
        </w:rPr>
        <w:t>”</w:t>
      </w:r>
      <w:r w:rsidRPr="00F23A12">
        <w:rPr>
          <w:rFonts w:ascii="Cambria" w:hAnsi="Cambria"/>
          <w:sz w:val="20"/>
          <w:szCs w:val="20"/>
        </w:rPr>
        <w:t>.</w:t>
      </w:r>
    </w:p>
    <w:p w14:paraId="10153F01" w14:textId="75B63338" w:rsidR="00F23A12" w:rsidRDefault="00F23A12" w:rsidP="00F23A12">
      <w:pPr>
        <w:spacing w:after="0"/>
        <w:jc w:val="right"/>
        <w:rPr>
          <w:rFonts w:ascii="Cambria" w:hAnsi="Cambria"/>
          <w:i/>
          <w:iCs/>
          <w:sz w:val="20"/>
          <w:szCs w:val="20"/>
        </w:rPr>
      </w:pPr>
      <w:r>
        <w:rPr>
          <w:rFonts w:ascii="Cambria" w:hAnsi="Cambria"/>
          <w:sz w:val="20"/>
          <w:szCs w:val="20"/>
        </w:rPr>
        <w:t xml:space="preserve">Banco Santander. </w:t>
      </w:r>
      <w:r w:rsidRPr="00F23A12">
        <w:rPr>
          <w:rFonts w:ascii="Cambria" w:hAnsi="Cambria"/>
          <w:i/>
          <w:iCs/>
          <w:sz w:val="20"/>
          <w:szCs w:val="20"/>
        </w:rPr>
        <w:t>¿Qué es la inflación?</w:t>
      </w:r>
    </w:p>
    <w:p w14:paraId="17E214BC" w14:textId="1BFC07C9" w:rsidR="00F23A12" w:rsidRDefault="00F23A12" w:rsidP="00F23A12">
      <w:pPr>
        <w:spacing w:after="0"/>
        <w:jc w:val="both"/>
        <w:rPr>
          <w:rFonts w:ascii="Cambria" w:hAnsi="Cambria"/>
          <w:sz w:val="20"/>
          <w:szCs w:val="20"/>
        </w:rPr>
      </w:pPr>
      <w:r>
        <w:rPr>
          <w:rFonts w:ascii="Cambria" w:hAnsi="Cambria"/>
          <w:sz w:val="20"/>
          <w:szCs w:val="20"/>
        </w:rPr>
        <w:t>Fuente 2:</w:t>
      </w:r>
    </w:p>
    <w:p w14:paraId="12EA6CDE" w14:textId="77777777" w:rsidR="00F23A12" w:rsidRPr="00F23A12" w:rsidRDefault="00F23A12" w:rsidP="00F23A12">
      <w:pPr>
        <w:spacing w:after="0"/>
        <w:rPr>
          <w:rFonts w:ascii="Cambria" w:hAnsi="Cambria"/>
          <w:sz w:val="20"/>
          <w:szCs w:val="20"/>
        </w:rPr>
      </w:pPr>
      <w:r w:rsidRPr="00F23A12">
        <w:rPr>
          <w:rFonts w:ascii="Cambria" w:hAnsi="Cambria"/>
          <w:sz w:val="20"/>
          <w:szCs w:val="20"/>
        </w:rPr>
        <w:t>“En primer lugar, tratar de ajustar nuestro consumo presente hacia los nuevos precios que, sin duda, harán que nuestro presupuesto se vea un poco más restringido si nuestros salarios no se han visto modificados por las variaciones del IPC, que posibilitarían poder tener el mismo poder adquisitivo que hace un tiempo.</w:t>
      </w:r>
    </w:p>
    <w:p w14:paraId="465F2DFB" w14:textId="27E2F4B1" w:rsidR="00F23A12" w:rsidRDefault="00F23A12" w:rsidP="00F23A12">
      <w:pPr>
        <w:spacing w:after="0"/>
        <w:jc w:val="both"/>
        <w:rPr>
          <w:rFonts w:ascii="Cambria" w:hAnsi="Cambria"/>
          <w:sz w:val="20"/>
          <w:szCs w:val="20"/>
        </w:rPr>
      </w:pPr>
      <w:r w:rsidRPr="00F23A12">
        <w:rPr>
          <w:rFonts w:ascii="Cambria" w:hAnsi="Cambria"/>
          <w:sz w:val="20"/>
          <w:szCs w:val="20"/>
        </w:rPr>
        <w:t>Por tanto, debemos restringir el consumo hacia bienes de primera necesidad, disminuir el consumo de bienes de lujo y cuidar aún más el presupuesto. Si se tiene la posibilidad de ahorrar, hoy es el momento, pero sin duda, como la moneda va perdiendo su valor, lo mejor es optar por alternativas de ahorro en UF, para, por lo menos, no perder el valor de nuestro dinero</w:t>
      </w:r>
      <w:r>
        <w:rPr>
          <w:rFonts w:ascii="Cambria" w:hAnsi="Cambria"/>
          <w:sz w:val="20"/>
          <w:szCs w:val="20"/>
        </w:rPr>
        <w:t>”</w:t>
      </w:r>
      <w:r w:rsidRPr="00F23A12">
        <w:rPr>
          <w:rFonts w:ascii="Cambria" w:hAnsi="Cambria"/>
          <w:sz w:val="20"/>
          <w:szCs w:val="20"/>
        </w:rPr>
        <w:t>.</w:t>
      </w:r>
    </w:p>
    <w:p w14:paraId="391A1BAA" w14:textId="2B447B6C" w:rsidR="00F23A12" w:rsidRDefault="007038D9" w:rsidP="007038D9">
      <w:pPr>
        <w:spacing w:after="0"/>
        <w:jc w:val="right"/>
        <w:rPr>
          <w:rFonts w:ascii="Cambria" w:hAnsi="Cambria"/>
          <w:i/>
          <w:iCs/>
          <w:sz w:val="20"/>
          <w:szCs w:val="20"/>
        </w:rPr>
      </w:pPr>
      <w:r>
        <w:rPr>
          <w:rFonts w:ascii="Cambria" w:hAnsi="Cambria"/>
          <w:sz w:val="20"/>
          <w:szCs w:val="20"/>
        </w:rPr>
        <w:t xml:space="preserve">USS. (16 de agosto 2022). </w:t>
      </w:r>
      <w:r w:rsidRPr="007038D9">
        <w:rPr>
          <w:rFonts w:ascii="Cambria" w:hAnsi="Cambria"/>
          <w:i/>
          <w:iCs/>
          <w:sz w:val="20"/>
          <w:szCs w:val="20"/>
        </w:rPr>
        <w:t>¿Cómo enfrentar la inflación en Chile?</w:t>
      </w:r>
    </w:p>
    <w:p w14:paraId="0DD0C1BF" w14:textId="10C1B54E" w:rsidR="007038D9" w:rsidRDefault="007038D9" w:rsidP="007038D9">
      <w:pPr>
        <w:spacing w:after="0"/>
        <w:jc w:val="both"/>
        <w:rPr>
          <w:rFonts w:ascii="Cambria" w:hAnsi="Cambria"/>
          <w:sz w:val="20"/>
          <w:szCs w:val="20"/>
        </w:rPr>
      </w:pPr>
      <w:r>
        <w:rPr>
          <w:rFonts w:ascii="Cambria" w:hAnsi="Cambria"/>
          <w:sz w:val="20"/>
          <w:szCs w:val="20"/>
        </w:rPr>
        <w:t>Fuente 3:</w:t>
      </w:r>
    </w:p>
    <w:p w14:paraId="4AC4EAF4" w14:textId="1F950331" w:rsidR="007038D9" w:rsidRPr="00614100" w:rsidRDefault="00614100" w:rsidP="007038D9">
      <w:pPr>
        <w:spacing w:after="0"/>
        <w:jc w:val="both"/>
        <w:rPr>
          <w:rFonts w:ascii="Cambria" w:hAnsi="Cambria"/>
          <w:sz w:val="20"/>
          <w:szCs w:val="20"/>
        </w:rPr>
      </w:pPr>
      <w:r w:rsidRPr="00614100">
        <w:rPr>
          <w:rFonts w:ascii="Cambria" w:hAnsi="Cambria"/>
          <w:sz w:val="20"/>
          <w:szCs w:val="20"/>
        </w:rPr>
        <w:t>“1. Elabora un presupuesto familiar con el detalle de ingresos y gastos. Esto permitirá priorizar cuáles son los gastos necesarios y cuáles pueden dejarse para después o suprimirse definitivamente. Antes de comprar algo, considera de manera objetiva si es muy necesario adquirirlo.</w:t>
      </w:r>
    </w:p>
    <w:p w14:paraId="5FACD818" w14:textId="77777777" w:rsidR="00614100" w:rsidRPr="00614100" w:rsidRDefault="00614100" w:rsidP="00614100">
      <w:pPr>
        <w:spacing w:after="0"/>
        <w:jc w:val="both"/>
        <w:rPr>
          <w:rFonts w:ascii="Cambria" w:hAnsi="Cambria"/>
          <w:sz w:val="20"/>
          <w:szCs w:val="20"/>
        </w:rPr>
      </w:pPr>
      <w:r w:rsidRPr="00614100">
        <w:rPr>
          <w:rFonts w:ascii="Cambria" w:hAnsi="Cambria"/>
          <w:sz w:val="20"/>
          <w:szCs w:val="20"/>
        </w:rPr>
        <w:t>2. No tomes una decisión de compra hasta que hayas comparado precios y calidad. En tu comparativo siempre considera plataformas de comercio electrónico confiables, en ocasiones suelen tener una amplia gama de productos y marcas, y con frecuencia son más económicas. Por supuesto, cuida todas las medidas de seguridad para la protección de tu información personal y asegúrate de gastar solo lo indispensable.</w:t>
      </w:r>
    </w:p>
    <w:p w14:paraId="04EAE864" w14:textId="77777777" w:rsidR="00614100" w:rsidRPr="00614100" w:rsidRDefault="00614100" w:rsidP="00614100">
      <w:pPr>
        <w:spacing w:after="0"/>
        <w:jc w:val="both"/>
        <w:rPr>
          <w:rFonts w:ascii="Cambria" w:hAnsi="Cambria"/>
          <w:sz w:val="20"/>
          <w:szCs w:val="20"/>
        </w:rPr>
      </w:pPr>
      <w:r w:rsidRPr="00614100">
        <w:rPr>
          <w:rFonts w:ascii="Cambria" w:hAnsi="Cambria"/>
          <w:sz w:val="20"/>
          <w:szCs w:val="20"/>
        </w:rPr>
        <w:t>3. Elabora una lista de productos necesarios. Esto te ayudará a gastar solo lo indispensable y a no “echar al carrito” indiscriminadamente lo que se te antoja.</w:t>
      </w:r>
    </w:p>
    <w:p w14:paraId="42E1E55F" w14:textId="77777777" w:rsidR="00614100" w:rsidRPr="00614100" w:rsidRDefault="00614100" w:rsidP="00614100">
      <w:pPr>
        <w:spacing w:after="0"/>
        <w:jc w:val="both"/>
        <w:rPr>
          <w:rFonts w:ascii="Cambria" w:hAnsi="Cambria"/>
          <w:sz w:val="20"/>
          <w:szCs w:val="20"/>
        </w:rPr>
      </w:pPr>
      <w:r w:rsidRPr="00614100">
        <w:rPr>
          <w:rFonts w:ascii="Cambria" w:hAnsi="Cambria"/>
          <w:sz w:val="20"/>
          <w:szCs w:val="20"/>
        </w:rPr>
        <w:t xml:space="preserve">4. Da oportunidad a las marcas más económicas que garanticen una buena calidad, aunque no sean las que acostumbras o tus favoritas. Una excelente opción son las llamadas marcas “libres” o “blancas”, una </w:t>
      </w:r>
      <w:r w:rsidRPr="00614100">
        <w:rPr>
          <w:rFonts w:ascii="Cambria" w:hAnsi="Cambria"/>
          <w:sz w:val="20"/>
          <w:szCs w:val="20"/>
        </w:rPr>
        <w:lastRenderedPageBreak/>
        <w:t>línea de productos genéricos que el supermercado vende bajo su nombre con muy buen nivel de calidad, ya que son productos que el comercio encarga a uno de los propios proveedores de las marcas que vende.</w:t>
      </w:r>
    </w:p>
    <w:p w14:paraId="6F294B52" w14:textId="77777777" w:rsidR="00614100" w:rsidRPr="00614100" w:rsidRDefault="00614100" w:rsidP="00614100">
      <w:pPr>
        <w:spacing w:after="0"/>
        <w:jc w:val="both"/>
        <w:rPr>
          <w:rFonts w:ascii="Cambria" w:hAnsi="Cambria"/>
          <w:sz w:val="20"/>
          <w:szCs w:val="20"/>
        </w:rPr>
      </w:pPr>
      <w:r w:rsidRPr="00614100">
        <w:rPr>
          <w:rFonts w:ascii="Cambria" w:hAnsi="Cambria"/>
          <w:sz w:val="20"/>
          <w:szCs w:val="20"/>
        </w:rPr>
        <w:t>5. Ten cuidado con algunas ofertas. El llamado 2×1 es un anzuelo que con frecuencia hace a las personas comprar cosas que no necesitan. Quizá otros comercios puedan tener mejores precios sin ofrecer descuentos. Compara el precio unitario antes de comprar. También sé precavido con los meses sin intereses. Si bien es esta una excelente opción para pagar poco a poco alguna compra, no adquieras muchos productos/servicios bajo este esquema o de lo contrario acabarás con una deuda mensual altísima.</w:t>
      </w:r>
    </w:p>
    <w:p w14:paraId="1E3B7284" w14:textId="4098A95D" w:rsidR="00614100" w:rsidRDefault="00614100" w:rsidP="00614100">
      <w:pPr>
        <w:spacing w:after="0"/>
        <w:jc w:val="both"/>
        <w:rPr>
          <w:rFonts w:ascii="Cambria" w:hAnsi="Cambria"/>
          <w:sz w:val="20"/>
          <w:szCs w:val="20"/>
        </w:rPr>
      </w:pPr>
      <w:r w:rsidRPr="00614100">
        <w:rPr>
          <w:rFonts w:ascii="Cambria" w:hAnsi="Cambria"/>
          <w:sz w:val="20"/>
          <w:szCs w:val="20"/>
        </w:rPr>
        <w:t>6. Haz un análisis detallado de gastos prescindibles, pequeños y recurrentes, también llamados “gastos hormiga”. Recorta algunos para poder generar un pequeño ahorro. Si bien su costo independiente pareciera poco, varios de ellos en conjunto sí pueden constituir un monto significativo”.</w:t>
      </w:r>
    </w:p>
    <w:p w14:paraId="70D9077C" w14:textId="2D91F830" w:rsidR="00614100" w:rsidRDefault="00614100" w:rsidP="00614100">
      <w:pPr>
        <w:spacing w:after="0"/>
        <w:jc w:val="right"/>
        <w:rPr>
          <w:rFonts w:ascii="Cambria" w:hAnsi="Cambria"/>
          <w:sz w:val="20"/>
          <w:szCs w:val="20"/>
        </w:rPr>
      </w:pPr>
      <w:r>
        <w:rPr>
          <w:rFonts w:ascii="Cambria" w:hAnsi="Cambria"/>
          <w:sz w:val="20"/>
          <w:szCs w:val="20"/>
        </w:rPr>
        <w:t xml:space="preserve">Forbes (2022). </w:t>
      </w:r>
      <w:r w:rsidRPr="00614100">
        <w:rPr>
          <w:rFonts w:ascii="Cambria" w:hAnsi="Cambria"/>
          <w:i/>
          <w:iCs/>
          <w:sz w:val="20"/>
          <w:szCs w:val="20"/>
        </w:rPr>
        <w:t>10 medidas para combatir la inflación en familia</w:t>
      </w:r>
      <w:r>
        <w:rPr>
          <w:rFonts w:ascii="Cambria" w:hAnsi="Cambria"/>
          <w:sz w:val="20"/>
          <w:szCs w:val="20"/>
        </w:rPr>
        <w:t>.</w:t>
      </w:r>
    </w:p>
    <w:tbl>
      <w:tblPr>
        <w:tblStyle w:val="Tablaconcuadrcula"/>
        <w:tblW w:w="0" w:type="auto"/>
        <w:tblLook w:val="04A0" w:firstRow="1" w:lastRow="0" w:firstColumn="1" w:lastColumn="0" w:noHBand="0" w:noVBand="1"/>
      </w:tblPr>
      <w:tblGrid>
        <w:gridCol w:w="1344"/>
        <w:gridCol w:w="6616"/>
        <w:gridCol w:w="868"/>
      </w:tblGrid>
      <w:tr w:rsidR="00614100" w14:paraId="0170FE6A" w14:textId="77777777" w:rsidTr="00614100">
        <w:tc>
          <w:tcPr>
            <w:tcW w:w="9054" w:type="dxa"/>
            <w:gridSpan w:val="3"/>
          </w:tcPr>
          <w:p w14:paraId="701219B4" w14:textId="58195747" w:rsidR="00614100" w:rsidRDefault="00614100" w:rsidP="00614100">
            <w:pPr>
              <w:jc w:val="center"/>
              <w:rPr>
                <w:rFonts w:ascii="Cambria" w:hAnsi="Cambria"/>
                <w:sz w:val="20"/>
                <w:szCs w:val="20"/>
              </w:rPr>
            </w:pPr>
            <w:r>
              <w:rPr>
                <w:rFonts w:ascii="Cambria" w:hAnsi="Cambria"/>
                <w:sz w:val="20"/>
                <w:szCs w:val="20"/>
              </w:rPr>
              <w:t>PAUTA PARA EVALUAR INFOGRAFÍA</w:t>
            </w:r>
          </w:p>
        </w:tc>
      </w:tr>
      <w:tr w:rsidR="00614100" w14:paraId="16CEC582" w14:textId="77777777" w:rsidTr="00614100">
        <w:tc>
          <w:tcPr>
            <w:tcW w:w="1197" w:type="dxa"/>
          </w:tcPr>
          <w:p w14:paraId="66DCCAE6" w14:textId="7D7DDB82" w:rsidR="00614100" w:rsidRDefault="00614100" w:rsidP="00614100">
            <w:pPr>
              <w:jc w:val="both"/>
              <w:rPr>
                <w:rFonts w:ascii="Cambria" w:hAnsi="Cambria"/>
                <w:sz w:val="20"/>
                <w:szCs w:val="20"/>
              </w:rPr>
            </w:pPr>
            <w:r>
              <w:rPr>
                <w:rFonts w:ascii="Cambria" w:hAnsi="Cambria"/>
                <w:sz w:val="20"/>
                <w:szCs w:val="20"/>
              </w:rPr>
              <w:t>Criterio</w:t>
            </w:r>
          </w:p>
        </w:tc>
        <w:tc>
          <w:tcPr>
            <w:tcW w:w="7275" w:type="dxa"/>
          </w:tcPr>
          <w:p w14:paraId="3F60C1B5" w14:textId="4FAFBBD7" w:rsidR="00614100" w:rsidRDefault="00614100" w:rsidP="00614100">
            <w:pPr>
              <w:jc w:val="both"/>
              <w:rPr>
                <w:rFonts w:ascii="Cambria" w:hAnsi="Cambria"/>
                <w:sz w:val="20"/>
                <w:szCs w:val="20"/>
              </w:rPr>
            </w:pPr>
            <w:r>
              <w:rPr>
                <w:rFonts w:ascii="Cambria" w:hAnsi="Cambria"/>
                <w:sz w:val="20"/>
                <w:szCs w:val="20"/>
              </w:rPr>
              <w:t xml:space="preserve">Descripción </w:t>
            </w:r>
          </w:p>
        </w:tc>
        <w:tc>
          <w:tcPr>
            <w:tcW w:w="582" w:type="dxa"/>
          </w:tcPr>
          <w:p w14:paraId="7DF40E1F" w14:textId="425EC7C5" w:rsidR="00614100" w:rsidRDefault="00614100" w:rsidP="00614100">
            <w:pPr>
              <w:jc w:val="both"/>
              <w:rPr>
                <w:rFonts w:ascii="Cambria" w:hAnsi="Cambria"/>
                <w:sz w:val="20"/>
                <w:szCs w:val="20"/>
              </w:rPr>
            </w:pPr>
            <w:r>
              <w:rPr>
                <w:rFonts w:ascii="Cambria" w:hAnsi="Cambria"/>
                <w:sz w:val="20"/>
                <w:szCs w:val="20"/>
              </w:rPr>
              <w:t>Puntaje</w:t>
            </w:r>
          </w:p>
        </w:tc>
      </w:tr>
      <w:tr w:rsidR="00614100" w14:paraId="3A654780" w14:textId="77777777" w:rsidTr="00614100">
        <w:tc>
          <w:tcPr>
            <w:tcW w:w="1197" w:type="dxa"/>
          </w:tcPr>
          <w:p w14:paraId="157BC4A7" w14:textId="2B1362EB" w:rsidR="00614100" w:rsidRDefault="00614100" w:rsidP="00614100">
            <w:pPr>
              <w:jc w:val="both"/>
              <w:rPr>
                <w:rFonts w:ascii="Cambria" w:hAnsi="Cambria"/>
                <w:sz w:val="20"/>
                <w:szCs w:val="20"/>
              </w:rPr>
            </w:pPr>
            <w:r>
              <w:rPr>
                <w:rFonts w:ascii="Cambria" w:hAnsi="Cambria"/>
                <w:sz w:val="20"/>
                <w:szCs w:val="20"/>
              </w:rPr>
              <w:t>Explicación de inflación</w:t>
            </w:r>
          </w:p>
        </w:tc>
        <w:tc>
          <w:tcPr>
            <w:tcW w:w="7275" w:type="dxa"/>
          </w:tcPr>
          <w:p w14:paraId="4833E587" w14:textId="60661A7E" w:rsidR="00614100" w:rsidRDefault="00614100" w:rsidP="00614100">
            <w:pPr>
              <w:jc w:val="both"/>
              <w:rPr>
                <w:rFonts w:ascii="Cambria" w:hAnsi="Cambria"/>
                <w:sz w:val="20"/>
                <w:szCs w:val="20"/>
              </w:rPr>
            </w:pPr>
            <w:r w:rsidRPr="00614100">
              <w:rPr>
                <w:rFonts w:ascii="Cambria" w:hAnsi="Cambria"/>
                <w:sz w:val="20"/>
                <w:szCs w:val="20"/>
              </w:rPr>
              <w:t xml:space="preserve">La infografía </w:t>
            </w:r>
            <w:r>
              <w:rPr>
                <w:rFonts w:ascii="Cambria" w:hAnsi="Cambria"/>
                <w:sz w:val="20"/>
                <w:szCs w:val="20"/>
              </w:rPr>
              <w:t xml:space="preserve">explica </w:t>
            </w:r>
            <w:r w:rsidRPr="00614100">
              <w:rPr>
                <w:rFonts w:ascii="Cambria" w:hAnsi="Cambria"/>
                <w:sz w:val="20"/>
                <w:szCs w:val="20"/>
              </w:rPr>
              <w:t xml:space="preserve">claramente qué es la inflación y cómo afecta a las personas. </w:t>
            </w:r>
            <w:r>
              <w:rPr>
                <w:rFonts w:ascii="Cambria" w:hAnsi="Cambria"/>
                <w:sz w:val="20"/>
                <w:szCs w:val="20"/>
              </w:rPr>
              <w:t>I</w:t>
            </w:r>
            <w:r w:rsidRPr="00614100">
              <w:rPr>
                <w:rFonts w:ascii="Cambria" w:hAnsi="Cambria"/>
                <w:sz w:val="20"/>
                <w:szCs w:val="20"/>
              </w:rPr>
              <w:t>nclu</w:t>
            </w:r>
            <w:r>
              <w:rPr>
                <w:rFonts w:ascii="Cambria" w:hAnsi="Cambria"/>
                <w:sz w:val="20"/>
                <w:szCs w:val="20"/>
              </w:rPr>
              <w:t>ye</w:t>
            </w:r>
            <w:r w:rsidRPr="00614100">
              <w:rPr>
                <w:rFonts w:ascii="Cambria" w:hAnsi="Cambria"/>
                <w:sz w:val="20"/>
                <w:szCs w:val="20"/>
              </w:rPr>
              <w:t xml:space="preserve"> el concepto de inflación y su impacto en el poder adquisitivo del dinero.</w:t>
            </w:r>
          </w:p>
        </w:tc>
        <w:tc>
          <w:tcPr>
            <w:tcW w:w="582" w:type="dxa"/>
          </w:tcPr>
          <w:p w14:paraId="09F941FD" w14:textId="77777777" w:rsidR="00614100" w:rsidRDefault="00614100" w:rsidP="00614100">
            <w:pPr>
              <w:jc w:val="both"/>
              <w:rPr>
                <w:rFonts w:ascii="Cambria" w:hAnsi="Cambria"/>
                <w:sz w:val="20"/>
                <w:szCs w:val="20"/>
              </w:rPr>
            </w:pPr>
          </w:p>
        </w:tc>
      </w:tr>
      <w:tr w:rsidR="00614100" w14:paraId="554A0818" w14:textId="77777777" w:rsidTr="00614100">
        <w:tc>
          <w:tcPr>
            <w:tcW w:w="1197" w:type="dxa"/>
          </w:tcPr>
          <w:p w14:paraId="5A74C301" w14:textId="5A5E35EE" w:rsidR="00614100" w:rsidRDefault="00614100" w:rsidP="00614100">
            <w:pPr>
              <w:jc w:val="both"/>
              <w:rPr>
                <w:rFonts w:ascii="Cambria" w:hAnsi="Cambria"/>
                <w:sz w:val="20"/>
                <w:szCs w:val="20"/>
              </w:rPr>
            </w:pPr>
            <w:r>
              <w:rPr>
                <w:rFonts w:ascii="Cambria" w:hAnsi="Cambria"/>
                <w:sz w:val="20"/>
                <w:szCs w:val="20"/>
              </w:rPr>
              <w:t>Mecanismos para combatir la inflación</w:t>
            </w:r>
          </w:p>
        </w:tc>
        <w:tc>
          <w:tcPr>
            <w:tcW w:w="7275" w:type="dxa"/>
          </w:tcPr>
          <w:p w14:paraId="4C69DE78" w14:textId="35D6C9C2" w:rsidR="00614100" w:rsidRDefault="00614100" w:rsidP="00614100">
            <w:pPr>
              <w:jc w:val="both"/>
              <w:rPr>
                <w:rFonts w:ascii="Cambria" w:hAnsi="Cambria"/>
                <w:sz w:val="20"/>
                <w:szCs w:val="20"/>
              </w:rPr>
            </w:pPr>
            <w:r w:rsidRPr="00614100">
              <w:rPr>
                <w:rFonts w:ascii="Cambria" w:hAnsi="Cambria"/>
                <w:sz w:val="20"/>
                <w:szCs w:val="20"/>
              </w:rPr>
              <w:t xml:space="preserve">La infografía identifica </w:t>
            </w:r>
            <w:r>
              <w:rPr>
                <w:rFonts w:ascii="Cambria" w:hAnsi="Cambria"/>
                <w:sz w:val="20"/>
                <w:szCs w:val="20"/>
              </w:rPr>
              <w:t xml:space="preserve">y explica </w:t>
            </w:r>
            <w:r w:rsidRPr="00614100">
              <w:rPr>
                <w:rFonts w:ascii="Cambria" w:hAnsi="Cambria"/>
                <w:sz w:val="20"/>
                <w:szCs w:val="20"/>
              </w:rPr>
              <w:t>al menos tres mecanismos prácticos</w:t>
            </w:r>
            <w:r>
              <w:rPr>
                <w:rFonts w:ascii="Cambria" w:hAnsi="Cambria"/>
                <w:sz w:val="20"/>
                <w:szCs w:val="20"/>
              </w:rPr>
              <w:t xml:space="preserve"> para combatir la inflación</w:t>
            </w:r>
            <w:r w:rsidRPr="00614100">
              <w:rPr>
                <w:rFonts w:ascii="Cambria" w:hAnsi="Cambria"/>
                <w:sz w:val="20"/>
                <w:szCs w:val="20"/>
              </w:rPr>
              <w:t xml:space="preserve">. Los mecanismos </w:t>
            </w:r>
            <w:r>
              <w:rPr>
                <w:rFonts w:ascii="Cambria" w:hAnsi="Cambria"/>
                <w:sz w:val="20"/>
                <w:szCs w:val="20"/>
              </w:rPr>
              <w:t>son</w:t>
            </w:r>
            <w:r w:rsidRPr="00614100">
              <w:rPr>
                <w:rFonts w:ascii="Cambria" w:hAnsi="Cambria"/>
                <w:sz w:val="20"/>
                <w:szCs w:val="20"/>
              </w:rPr>
              <w:t xml:space="preserve"> relacionados con cómo pueden ser aplicados por las familias para enfrentar la inflación.</w:t>
            </w:r>
          </w:p>
        </w:tc>
        <w:tc>
          <w:tcPr>
            <w:tcW w:w="582" w:type="dxa"/>
          </w:tcPr>
          <w:p w14:paraId="14888B05" w14:textId="77777777" w:rsidR="00614100" w:rsidRDefault="00614100" w:rsidP="00614100">
            <w:pPr>
              <w:jc w:val="both"/>
              <w:rPr>
                <w:rFonts w:ascii="Cambria" w:hAnsi="Cambria"/>
                <w:sz w:val="20"/>
                <w:szCs w:val="20"/>
              </w:rPr>
            </w:pPr>
          </w:p>
        </w:tc>
      </w:tr>
      <w:tr w:rsidR="00614100" w14:paraId="01E41B63" w14:textId="77777777" w:rsidTr="00614100">
        <w:tc>
          <w:tcPr>
            <w:tcW w:w="1197" w:type="dxa"/>
          </w:tcPr>
          <w:p w14:paraId="14257349" w14:textId="012BF1CF" w:rsidR="00614100" w:rsidRDefault="00614100" w:rsidP="00614100">
            <w:pPr>
              <w:jc w:val="both"/>
              <w:rPr>
                <w:rFonts w:ascii="Cambria" w:hAnsi="Cambria"/>
                <w:sz w:val="20"/>
                <w:szCs w:val="20"/>
              </w:rPr>
            </w:pPr>
            <w:r>
              <w:rPr>
                <w:rFonts w:ascii="Cambria" w:hAnsi="Cambria"/>
                <w:sz w:val="20"/>
                <w:szCs w:val="20"/>
              </w:rPr>
              <w:t>Uso de recursos visuales</w:t>
            </w:r>
          </w:p>
        </w:tc>
        <w:tc>
          <w:tcPr>
            <w:tcW w:w="7275" w:type="dxa"/>
          </w:tcPr>
          <w:p w14:paraId="7BC486F1" w14:textId="30F4C2F7" w:rsidR="00614100" w:rsidRDefault="00614100" w:rsidP="00614100">
            <w:pPr>
              <w:jc w:val="both"/>
              <w:rPr>
                <w:rFonts w:ascii="Cambria" w:hAnsi="Cambria"/>
                <w:sz w:val="20"/>
                <w:szCs w:val="20"/>
              </w:rPr>
            </w:pPr>
            <w:r w:rsidRPr="00614100">
              <w:rPr>
                <w:rFonts w:ascii="Cambria" w:hAnsi="Cambria"/>
                <w:sz w:val="20"/>
                <w:szCs w:val="20"/>
              </w:rPr>
              <w:t>La infografía cont</w:t>
            </w:r>
            <w:r>
              <w:rPr>
                <w:rFonts w:ascii="Cambria" w:hAnsi="Cambria"/>
                <w:sz w:val="20"/>
                <w:szCs w:val="20"/>
              </w:rPr>
              <w:t>iene</w:t>
            </w:r>
            <w:r w:rsidRPr="00614100">
              <w:rPr>
                <w:rFonts w:ascii="Cambria" w:hAnsi="Cambria"/>
                <w:sz w:val="20"/>
                <w:szCs w:val="20"/>
              </w:rPr>
              <w:t xml:space="preserve"> imágenes, íconos y gráficos relevantes que complementen y mejoren la comprensión del tema. Las imágenes</w:t>
            </w:r>
            <w:r>
              <w:rPr>
                <w:rFonts w:ascii="Cambria" w:hAnsi="Cambria"/>
                <w:sz w:val="20"/>
                <w:szCs w:val="20"/>
              </w:rPr>
              <w:t xml:space="preserve"> </w:t>
            </w:r>
            <w:r w:rsidRPr="00614100">
              <w:rPr>
                <w:rFonts w:ascii="Cambria" w:hAnsi="Cambria"/>
                <w:sz w:val="20"/>
                <w:szCs w:val="20"/>
              </w:rPr>
              <w:t>está</w:t>
            </w:r>
            <w:r>
              <w:rPr>
                <w:rFonts w:ascii="Cambria" w:hAnsi="Cambria"/>
                <w:sz w:val="20"/>
                <w:szCs w:val="20"/>
              </w:rPr>
              <w:t>n</w:t>
            </w:r>
            <w:r w:rsidRPr="00614100">
              <w:rPr>
                <w:rFonts w:ascii="Cambria" w:hAnsi="Cambria"/>
                <w:sz w:val="20"/>
                <w:szCs w:val="20"/>
              </w:rPr>
              <w:t xml:space="preserve"> bien elegidas y ser coherentes con el contenido.</w:t>
            </w:r>
          </w:p>
        </w:tc>
        <w:tc>
          <w:tcPr>
            <w:tcW w:w="582" w:type="dxa"/>
          </w:tcPr>
          <w:p w14:paraId="3D79BA12" w14:textId="77777777" w:rsidR="00614100" w:rsidRDefault="00614100" w:rsidP="00614100">
            <w:pPr>
              <w:jc w:val="both"/>
              <w:rPr>
                <w:rFonts w:ascii="Cambria" w:hAnsi="Cambria"/>
                <w:sz w:val="20"/>
                <w:szCs w:val="20"/>
              </w:rPr>
            </w:pPr>
          </w:p>
        </w:tc>
      </w:tr>
      <w:tr w:rsidR="00614100" w14:paraId="2CFBC30A" w14:textId="77777777" w:rsidTr="00614100">
        <w:tc>
          <w:tcPr>
            <w:tcW w:w="1197" w:type="dxa"/>
          </w:tcPr>
          <w:p w14:paraId="32CD990A" w14:textId="6A8868F8" w:rsidR="00614100" w:rsidRDefault="00614100" w:rsidP="00614100">
            <w:pPr>
              <w:jc w:val="both"/>
              <w:rPr>
                <w:rFonts w:ascii="Cambria" w:hAnsi="Cambria"/>
                <w:sz w:val="20"/>
                <w:szCs w:val="20"/>
              </w:rPr>
            </w:pPr>
            <w:r>
              <w:rPr>
                <w:rFonts w:ascii="Cambria" w:hAnsi="Cambria"/>
                <w:sz w:val="20"/>
                <w:szCs w:val="20"/>
              </w:rPr>
              <w:t>Uso de colores y tipografía</w:t>
            </w:r>
          </w:p>
        </w:tc>
        <w:tc>
          <w:tcPr>
            <w:tcW w:w="7275" w:type="dxa"/>
          </w:tcPr>
          <w:p w14:paraId="1474D453" w14:textId="52F26ED7" w:rsidR="00614100" w:rsidRPr="00614100" w:rsidRDefault="00614100" w:rsidP="00614100">
            <w:pPr>
              <w:jc w:val="both"/>
              <w:rPr>
                <w:rFonts w:ascii="Cambria" w:hAnsi="Cambria"/>
                <w:sz w:val="20"/>
                <w:szCs w:val="20"/>
              </w:rPr>
            </w:pPr>
            <w:r w:rsidRPr="00614100">
              <w:rPr>
                <w:rFonts w:ascii="Cambria" w:hAnsi="Cambria"/>
                <w:sz w:val="20"/>
                <w:szCs w:val="20"/>
              </w:rPr>
              <w:t>La infografía t</w:t>
            </w:r>
            <w:r>
              <w:rPr>
                <w:rFonts w:ascii="Cambria" w:hAnsi="Cambria"/>
                <w:sz w:val="20"/>
                <w:szCs w:val="20"/>
              </w:rPr>
              <w:t>iene</w:t>
            </w:r>
            <w:r w:rsidRPr="00614100">
              <w:rPr>
                <w:rFonts w:ascii="Cambria" w:hAnsi="Cambria"/>
                <w:sz w:val="20"/>
                <w:szCs w:val="20"/>
              </w:rPr>
              <w:t xml:space="preserve"> una paleta de colores atractiva y coherente que ayude a organizar la información. La tipografía </w:t>
            </w:r>
            <w:r>
              <w:rPr>
                <w:rFonts w:ascii="Cambria" w:hAnsi="Cambria"/>
                <w:sz w:val="20"/>
                <w:szCs w:val="20"/>
              </w:rPr>
              <w:t>es</w:t>
            </w:r>
            <w:r w:rsidRPr="00614100">
              <w:rPr>
                <w:rFonts w:ascii="Cambria" w:hAnsi="Cambria"/>
                <w:sz w:val="20"/>
                <w:szCs w:val="20"/>
              </w:rPr>
              <w:t xml:space="preserve"> legible, con una jerarquía clara para los títulos y la información.</w:t>
            </w:r>
          </w:p>
        </w:tc>
        <w:tc>
          <w:tcPr>
            <w:tcW w:w="582" w:type="dxa"/>
          </w:tcPr>
          <w:p w14:paraId="610236C3" w14:textId="77777777" w:rsidR="00614100" w:rsidRDefault="00614100" w:rsidP="00614100">
            <w:pPr>
              <w:jc w:val="both"/>
              <w:rPr>
                <w:rFonts w:ascii="Cambria" w:hAnsi="Cambria"/>
                <w:sz w:val="20"/>
                <w:szCs w:val="20"/>
              </w:rPr>
            </w:pPr>
          </w:p>
        </w:tc>
      </w:tr>
      <w:tr w:rsidR="00614100" w14:paraId="0DC5A439" w14:textId="77777777" w:rsidTr="00614100">
        <w:tc>
          <w:tcPr>
            <w:tcW w:w="1197" w:type="dxa"/>
          </w:tcPr>
          <w:p w14:paraId="5525D556" w14:textId="02D5FC8B" w:rsidR="00614100" w:rsidRDefault="00614100" w:rsidP="00614100">
            <w:pPr>
              <w:jc w:val="both"/>
              <w:rPr>
                <w:rFonts w:ascii="Cambria" w:hAnsi="Cambria"/>
                <w:sz w:val="20"/>
                <w:szCs w:val="20"/>
              </w:rPr>
            </w:pPr>
            <w:r>
              <w:rPr>
                <w:rFonts w:ascii="Cambria" w:hAnsi="Cambria"/>
                <w:sz w:val="20"/>
                <w:szCs w:val="20"/>
              </w:rPr>
              <w:t>Organización</w:t>
            </w:r>
          </w:p>
        </w:tc>
        <w:tc>
          <w:tcPr>
            <w:tcW w:w="7275" w:type="dxa"/>
          </w:tcPr>
          <w:p w14:paraId="27761CCF" w14:textId="31014E01" w:rsidR="00614100" w:rsidRPr="00614100" w:rsidRDefault="00614100" w:rsidP="00614100">
            <w:pPr>
              <w:jc w:val="both"/>
              <w:rPr>
                <w:rFonts w:ascii="Cambria" w:hAnsi="Cambria"/>
                <w:sz w:val="20"/>
                <w:szCs w:val="20"/>
              </w:rPr>
            </w:pPr>
            <w:r w:rsidRPr="00614100">
              <w:rPr>
                <w:rFonts w:ascii="Cambria" w:hAnsi="Cambria"/>
                <w:sz w:val="20"/>
                <w:szCs w:val="20"/>
              </w:rPr>
              <w:t xml:space="preserve">La información </w:t>
            </w:r>
            <w:r>
              <w:rPr>
                <w:rFonts w:ascii="Cambria" w:hAnsi="Cambria"/>
                <w:sz w:val="20"/>
                <w:szCs w:val="20"/>
              </w:rPr>
              <w:t>se encuentra</w:t>
            </w:r>
            <w:r w:rsidRPr="00614100">
              <w:rPr>
                <w:rFonts w:ascii="Cambria" w:hAnsi="Cambria"/>
                <w:sz w:val="20"/>
                <w:szCs w:val="20"/>
              </w:rPr>
              <w:t xml:space="preserve"> organizada de manera lógica y fluida. Los puntos clave </w:t>
            </w:r>
            <w:r>
              <w:rPr>
                <w:rFonts w:ascii="Cambria" w:hAnsi="Cambria"/>
                <w:sz w:val="20"/>
                <w:szCs w:val="20"/>
              </w:rPr>
              <w:t>son f</w:t>
            </w:r>
            <w:r w:rsidRPr="00614100">
              <w:rPr>
                <w:rFonts w:ascii="Cambria" w:hAnsi="Cambria"/>
                <w:sz w:val="20"/>
                <w:szCs w:val="20"/>
              </w:rPr>
              <w:t xml:space="preserve">áciles de encontrar y seguir.  </w:t>
            </w:r>
          </w:p>
        </w:tc>
        <w:tc>
          <w:tcPr>
            <w:tcW w:w="582" w:type="dxa"/>
          </w:tcPr>
          <w:p w14:paraId="793BFF7F" w14:textId="77777777" w:rsidR="00614100" w:rsidRDefault="00614100" w:rsidP="00614100">
            <w:pPr>
              <w:jc w:val="both"/>
              <w:rPr>
                <w:rFonts w:ascii="Cambria" w:hAnsi="Cambria"/>
                <w:sz w:val="20"/>
                <w:szCs w:val="20"/>
              </w:rPr>
            </w:pPr>
          </w:p>
        </w:tc>
      </w:tr>
    </w:tbl>
    <w:p w14:paraId="7695898F" w14:textId="77777777" w:rsidR="00614100" w:rsidRPr="00614100" w:rsidRDefault="00614100" w:rsidP="00614100">
      <w:pPr>
        <w:spacing w:after="0"/>
        <w:jc w:val="both"/>
        <w:rPr>
          <w:rFonts w:ascii="Cambria" w:hAnsi="Cambria"/>
          <w:sz w:val="20"/>
          <w:szCs w:val="20"/>
        </w:rPr>
      </w:pPr>
    </w:p>
    <w:p w14:paraId="06B6A0F8" w14:textId="77777777" w:rsidR="00614100" w:rsidRPr="00F23A12" w:rsidRDefault="00614100" w:rsidP="007038D9">
      <w:pPr>
        <w:spacing w:after="0"/>
        <w:jc w:val="both"/>
        <w:rPr>
          <w:rFonts w:ascii="Cambria" w:hAnsi="Cambria"/>
          <w:sz w:val="20"/>
          <w:szCs w:val="20"/>
        </w:rPr>
      </w:pPr>
    </w:p>
    <w:p w14:paraId="61D16ABF" w14:textId="4C73CBE7" w:rsidR="00F23A12" w:rsidRPr="00F23A12" w:rsidRDefault="00F23A12" w:rsidP="00F23A12">
      <w:pPr>
        <w:spacing w:after="0"/>
        <w:jc w:val="both"/>
        <w:rPr>
          <w:rFonts w:ascii="Cambria" w:hAnsi="Cambria"/>
          <w:sz w:val="20"/>
          <w:szCs w:val="20"/>
        </w:rPr>
      </w:pPr>
    </w:p>
    <w:p w14:paraId="2732A46F" w14:textId="0AEE952A" w:rsidR="00F23A12" w:rsidRPr="00F23A12" w:rsidRDefault="00F23A12" w:rsidP="00F23A12">
      <w:pPr>
        <w:spacing w:after="0"/>
        <w:jc w:val="both"/>
        <w:rPr>
          <w:rFonts w:ascii="Cambria" w:hAnsi="Cambria"/>
          <w:sz w:val="20"/>
          <w:szCs w:val="20"/>
        </w:rPr>
      </w:pPr>
    </w:p>
    <w:p w14:paraId="726991C0"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06743" w14:textId="77777777" w:rsidR="000308EB" w:rsidRDefault="000308EB" w:rsidP="00F23A12">
      <w:pPr>
        <w:spacing w:after="0" w:line="240" w:lineRule="auto"/>
      </w:pPr>
      <w:r>
        <w:separator/>
      </w:r>
    </w:p>
  </w:endnote>
  <w:endnote w:type="continuationSeparator" w:id="0">
    <w:p w14:paraId="1B9C4D7A" w14:textId="77777777" w:rsidR="000308EB" w:rsidRDefault="000308EB" w:rsidP="00F23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0D4EF" w14:textId="77777777" w:rsidR="000308EB" w:rsidRDefault="000308EB" w:rsidP="00F23A12">
      <w:pPr>
        <w:spacing w:after="0" w:line="240" w:lineRule="auto"/>
      </w:pPr>
      <w:r>
        <w:separator/>
      </w:r>
    </w:p>
  </w:footnote>
  <w:footnote w:type="continuationSeparator" w:id="0">
    <w:p w14:paraId="30ECA2B5" w14:textId="77777777" w:rsidR="000308EB" w:rsidRDefault="000308EB" w:rsidP="00F23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0C21" w14:textId="15672ADF" w:rsidR="00F23A12" w:rsidRDefault="00614100">
    <w:pPr>
      <w:pStyle w:val="Encabezado"/>
    </w:pPr>
    <w:r>
      <w:rPr>
        <w:noProof/>
      </w:rPr>
      <mc:AlternateContent>
        <mc:Choice Requires="wps">
          <w:drawing>
            <wp:anchor distT="0" distB="0" distL="114300" distR="114300" simplePos="0" relativeHeight="251661312" behindDoc="0" locked="0" layoutInCell="1" allowOverlap="1" wp14:anchorId="790B3CE9" wp14:editId="6BE6EEE1">
              <wp:simplePos x="0" y="0"/>
              <wp:positionH relativeFrom="column">
                <wp:posOffset>4505960</wp:posOffset>
              </wp:positionH>
              <wp:positionV relativeFrom="paragraph">
                <wp:posOffset>-157480</wp:posOffset>
              </wp:positionV>
              <wp:extent cx="1905000" cy="605790"/>
              <wp:effectExtent l="0" t="0" r="0" b="0"/>
              <wp:wrapNone/>
              <wp:docPr id="101609759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38D4A79" w14:textId="77777777" w:rsidR="00F23A12" w:rsidRPr="00732B2B" w:rsidRDefault="00F23A12" w:rsidP="00F23A1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E6EE750" w14:textId="77777777" w:rsidR="00F23A12" w:rsidRPr="00732B2B" w:rsidRDefault="00F23A12" w:rsidP="00F23A1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FACBC5C" w14:textId="77777777" w:rsidR="00F23A12" w:rsidRPr="00732B2B" w:rsidRDefault="00F23A12" w:rsidP="00F23A1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90B3CE9" id="_x0000_t202" coordsize="21600,21600" o:spt="202" path="m,l,21600r21600,l21600,xe">
              <v:stroke joinstyle="miter"/>
              <v:path gradientshapeok="t" o:connecttype="rect"/>
            </v:shapetype>
            <v:shape id="Cuadro de texto 3" o:spid="_x0000_s1026" type="#_x0000_t202" style="position:absolute;margin-left:354.8pt;margin-top:-12.4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" filled="f" stroked="f">
              <v:textbox style="mso-fit-shape-to-text:t">
                <w:txbxContent>
                  <w:p w14:paraId="438D4A79" w14:textId="77777777" w:rsidR="00F23A12" w:rsidRPr="00732B2B" w:rsidRDefault="00F23A12" w:rsidP="00F23A1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E6EE750" w14:textId="77777777" w:rsidR="00F23A12" w:rsidRPr="00732B2B" w:rsidRDefault="00F23A12" w:rsidP="00F23A1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FACBC5C" w14:textId="77777777" w:rsidR="00F23A12" w:rsidRPr="00732B2B" w:rsidRDefault="00F23A12" w:rsidP="00F23A1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1F6CC2" wp14:editId="44291937">
              <wp:simplePos x="0" y="0"/>
              <wp:positionH relativeFrom="column">
                <wp:posOffset>-711200</wp:posOffset>
              </wp:positionH>
              <wp:positionV relativeFrom="paragraph">
                <wp:posOffset>-227965</wp:posOffset>
              </wp:positionV>
              <wp:extent cx="2040890" cy="676275"/>
              <wp:effectExtent l="0" t="0" r="0" b="0"/>
              <wp:wrapNone/>
              <wp:docPr id="93489077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AFD961F" w14:textId="77777777" w:rsidR="00F23A12" w:rsidRDefault="00F23A12" w:rsidP="00F23A1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D75147A" w14:textId="77777777" w:rsidR="00F23A12" w:rsidRDefault="00F23A12" w:rsidP="00F23A1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F9F77D8" w14:textId="77777777" w:rsidR="00F23A12" w:rsidRDefault="00F23A12" w:rsidP="00F23A1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6EB8622" wp14:editId="34859C2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1F6CC2" id="Cuadro de texto 1" o:spid="_x0000_s1027" type="#_x0000_t202" style="position:absolute;margin-left:-56pt;margin-top:-17.9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" filled="f" stroked="f">
              <v:textbox inset="0,0,0,0">
                <w:txbxContent>
                  <w:p w14:paraId="7AFD961F" w14:textId="77777777" w:rsidR="00F23A12" w:rsidRDefault="00F23A12" w:rsidP="00F23A1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D75147A" w14:textId="77777777" w:rsidR="00F23A12" w:rsidRDefault="00F23A12" w:rsidP="00F23A1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F9F77D8" w14:textId="77777777" w:rsidR="00F23A12" w:rsidRDefault="00F23A12" w:rsidP="00F23A1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6EB8622" wp14:editId="34859C2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71E29"/>
    <w:multiLevelType w:val="multilevel"/>
    <w:tmpl w:val="A29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2E7493D"/>
    <w:multiLevelType w:val="hybridMultilevel"/>
    <w:tmpl w:val="C0E6EFB0"/>
    <w:lvl w:ilvl="0" w:tplc="A54CF984">
      <w:start w:val="24"/>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134326323">
    <w:abstractNumId w:val="1"/>
  </w:num>
  <w:num w:numId="2" w16cid:durableId="1770929054">
    <w:abstractNumId w:val="2"/>
  </w:num>
  <w:num w:numId="3" w16cid:durableId="79652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12"/>
    <w:rsid w:val="000308EB"/>
    <w:rsid w:val="00477969"/>
    <w:rsid w:val="004B6D70"/>
    <w:rsid w:val="005206A2"/>
    <w:rsid w:val="00614100"/>
    <w:rsid w:val="006A1FE1"/>
    <w:rsid w:val="007038D9"/>
    <w:rsid w:val="007328DD"/>
    <w:rsid w:val="009D1EB1"/>
    <w:rsid w:val="00A970F6"/>
    <w:rsid w:val="00E22FE2"/>
    <w:rsid w:val="00F23A12"/>
    <w:rsid w:val="00FB0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164F9"/>
  <w15:chartTrackingRefBased/>
  <w15:docId w15:val="{8C98B052-3C96-4BAC-A603-FCF2E55E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23A12"/>
    <w:rPr>
      <w:kern w:val="0"/>
      <w:lang w:val="es-CL"/>
    </w:rPr>
  </w:style>
  <w:style w:type="paragraph" w:styleId="Ttulo1">
    <w:name w:val="heading 1"/>
    <w:basedOn w:val="Normal"/>
    <w:next w:val="Normal"/>
    <w:link w:val="Ttulo1Car"/>
    <w:uiPriority w:val="9"/>
    <w:qFormat/>
    <w:rsid w:val="00F23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1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F23A1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F23A1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F23A1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F23A1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F23A1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F23A1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F23A1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F23A1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F23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1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F23A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1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F23A12"/>
    <w:pPr>
      <w:spacing w:before="160"/>
      <w:jc w:val="center"/>
    </w:pPr>
    <w:rPr>
      <w:i/>
      <w:iCs/>
      <w:color w:val="404040" w:themeColor="text1" w:themeTint="BF"/>
    </w:rPr>
  </w:style>
  <w:style w:type="character" w:customStyle="1" w:styleId="CitaCar">
    <w:name w:val="Cita Car"/>
    <w:basedOn w:val="Fuentedeprrafopredeter"/>
    <w:link w:val="Cita"/>
    <w:uiPriority w:val="29"/>
    <w:rsid w:val="00F23A12"/>
    <w:rPr>
      <w:rFonts w:ascii="Cambria" w:hAnsi="Cambria"/>
      <w:i/>
      <w:iCs/>
      <w:color w:val="404040" w:themeColor="text1" w:themeTint="BF"/>
      <w:kern w:val="0"/>
      <w:lang w:val="es-CL"/>
    </w:rPr>
  </w:style>
  <w:style w:type="paragraph" w:styleId="Prrafodelista">
    <w:name w:val="List Paragraph"/>
    <w:basedOn w:val="Normal"/>
    <w:uiPriority w:val="34"/>
    <w:qFormat/>
    <w:rsid w:val="00F23A12"/>
    <w:pPr>
      <w:ind w:left="720"/>
      <w:contextualSpacing/>
    </w:pPr>
  </w:style>
  <w:style w:type="character" w:styleId="nfasisintenso">
    <w:name w:val="Intense Emphasis"/>
    <w:basedOn w:val="Fuentedeprrafopredeter"/>
    <w:uiPriority w:val="21"/>
    <w:qFormat/>
    <w:rsid w:val="00F23A12"/>
    <w:rPr>
      <w:i/>
      <w:iCs/>
      <w:color w:val="0F4761" w:themeColor="accent1" w:themeShade="BF"/>
    </w:rPr>
  </w:style>
  <w:style w:type="paragraph" w:styleId="Citadestacada">
    <w:name w:val="Intense Quote"/>
    <w:basedOn w:val="Normal"/>
    <w:next w:val="Normal"/>
    <w:link w:val="CitadestacadaCar"/>
    <w:uiPriority w:val="30"/>
    <w:qFormat/>
    <w:rsid w:val="00F23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1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F23A12"/>
    <w:rPr>
      <w:b/>
      <w:bCs/>
      <w:smallCaps/>
      <w:color w:val="0F4761" w:themeColor="accent1" w:themeShade="BF"/>
      <w:spacing w:val="5"/>
    </w:rPr>
  </w:style>
  <w:style w:type="paragraph" w:styleId="Encabezado">
    <w:name w:val="header"/>
    <w:basedOn w:val="Normal"/>
    <w:link w:val="EncabezadoCar"/>
    <w:uiPriority w:val="99"/>
    <w:unhideWhenUsed/>
    <w:rsid w:val="00F23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A12"/>
    <w:rPr>
      <w:rFonts w:ascii="Cambria" w:hAnsi="Cambria"/>
      <w:kern w:val="0"/>
      <w:lang w:val="es-CL"/>
    </w:rPr>
  </w:style>
  <w:style w:type="paragraph" w:styleId="Piedepgina">
    <w:name w:val="footer"/>
    <w:basedOn w:val="Normal"/>
    <w:link w:val="PiedepginaCar"/>
    <w:uiPriority w:val="99"/>
    <w:unhideWhenUsed/>
    <w:rsid w:val="00F23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12"/>
    <w:rPr>
      <w:rFonts w:ascii="Cambria" w:hAnsi="Cambria"/>
      <w:kern w:val="0"/>
      <w:lang w:val="es-CL"/>
    </w:rPr>
  </w:style>
  <w:style w:type="table" w:styleId="Tablaconcuadrcula">
    <w:name w:val="Table Grid"/>
    <w:basedOn w:val="Tablanormal"/>
    <w:uiPriority w:val="39"/>
    <w:rsid w:val="00F23A1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3A12"/>
    <w:rPr>
      <w:color w:val="467886" w:themeColor="hyperlink"/>
      <w:u w:val="single"/>
    </w:rPr>
  </w:style>
  <w:style w:type="character" w:styleId="Mencinsinresolver">
    <w:name w:val="Unresolved Mention"/>
    <w:basedOn w:val="Fuentedeprrafopredeter"/>
    <w:uiPriority w:val="99"/>
    <w:semiHidden/>
    <w:unhideWhenUsed/>
    <w:rsid w:val="00F23A12"/>
    <w:rPr>
      <w:color w:val="605E5C"/>
      <w:shd w:val="clear" w:color="auto" w:fill="E1DFDD"/>
    </w:rPr>
  </w:style>
  <w:style w:type="paragraph" w:styleId="NormalWeb">
    <w:name w:val="Normal (Web)"/>
    <w:basedOn w:val="Normal"/>
    <w:uiPriority w:val="99"/>
    <w:semiHidden/>
    <w:unhideWhenUsed/>
    <w:rsid w:val="00F23A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8807">
      <w:bodyDiv w:val="1"/>
      <w:marLeft w:val="0"/>
      <w:marRight w:val="0"/>
      <w:marTop w:val="0"/>
      <w:marBottom w:val="0"/>
      <w:divBdr>
        <w:top w:val="none" w:sz="0" w:space="0" w:color="auto"/>
        <w:left w:val="none" w:sz="0" w:space="0" w:color="auto"/>
        <w:bottom w:val="none" w:sz="0" w:space="0" w:color="auto"/>
        <w:right w:val="none" w:sz="0" w:space="0" w:color="auto"/>
      </w:divBdr>
    </w:div>
    <w:div w:id="806749625">
      <w:bodyDiv w:val="1"/>
      <w:marLeft w:val="0"/>
      <w:marRight w:val="0"/>
      <w:marTop w:val="0"/>
      <w:marBottom w:val="0"/>
      <w:divBdr>
        <w:top w:val="none" w:sz="0" w:space="0" w:color="auto"/>
        <w:left w:val="none" w:sz="0" w:space="0" w:color="auto"/>
        <w:bottom w:val="none" w:sz="0" w:space="0" w:color="auto"/>
        <w:right w:val="none" w:sz="0" w:space="0" w:color="auto"/>
      </w:divBdr>
    </w:div>
    <w:div w:id="1366641556">
      <w:bodyDiv w:val="1"/>
      <w:marLeft w:val="0"/>
      <w:marRight w:val="0"/>
      <w:marTop w:val="0"/>
      <w:marBottom w:val="0"/>
      <w:divBdr>
        <w:top w:val="none" w:sz="0" w:space="0" w:color="auto"/>
        <w:left w:val="none" w:sz="0" w:space="0" w:color="auto"/>
        <w:bottom w:val="none" w:sz="0" w:space="0" w:color="auto"/>
        <w:right w:val="none" w:sz="0" w:space="0" w:color="auto"/>
      </w:divBdr>
    </w:div>
    <w:div w:id="1386636176">
      <w:bodyDiv w:val="1"/>
      <w:marLeft w:val="0"/>
      <w:marRight w:val="0"/>
      <w:marTop w:val="0"/>
      <w:marBottom w:val="0"/>
      <w:divBdr>
        <w:top w:val="none" w:sz="0" w:space="0" w:color="auto"/>
        <w:left w:val="none" w:sz="0" w:space="0" w:color="auto"/>
        <w:bottom w:val="none" w:sz="0" w:space="0" w:color="auto"/>
        <w:right w:val="none" w:sz="0" w:space="0" w:color="auto"/>
      </w:divBdr>
    </w:div>
    <w:div w:id="1526019787">
      <w:bodyDiv w:val="1"/>
      <w:marLeft w:val="0"/>
      <w:marRight w:val="0"/>
      <w:marTop w:val="0"/>
      <w:marBottom w:val="0"/>
      <w:divBdr>
        <w:top w:val="none" w:sz="0" w:space="0" w:color="auto"/>
        <w:left w:val="none" w:sz="0" w:space="0" w:color="auto"/>
        <w:bottom w:val="none" w:sz="0" w:space="0" w:color="auto"/>
        <w:right w:val="none" w:sz="0" w:space="0" w:color="auto"/>
      </w:divBdr>
    </w:div>
    <w:div w:id="17732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2025-03-12T11:26:00Z</cp:lastPrinted>
  <dcterms:created xsi:type="dcterms:W3CDTF">2025-03-12T11:26:00Z</dcterms:created>
  <dcterms:modified xsi:type="dcterms:W3CDTF">2025-03-12T11:26:00Z</dcterms:modified>
</cp:coreProperties>
</file>