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4CB6" w14:textId="6D88B296" w:rsidR="00F05572" w:rsidRPr="00D66D3C" w:rsidRDefault="00F05572" w:rsidP="00F05572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  <w:r w:rsidR="00D57155">
        <w:rPr>
          <w:rFonts w:ascii="Cambria" w:hAnsi="Cambria"/>
          <w:b/>
          <w:bCs/>
          <w:u w:val="single"/>
        </w:rPr>
        <w:t>5</w:t>
      </w:r>
    </w:p>
    <w:p w14:paraId="577CBF40" w14:textId="797F1492" w:rsidR="00F05572" w:rsidRPr="00D66D3C" w:rsidRDefault="00D57155" w:rsidP="00F05572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CATÁSTROFE DEMOGRÁFICA Y SUS CONSECUENCIAS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05572" w:rsidRPr="001D3806" w14:paraId="7681184E" w14:textId="77777777" w:rsidTr="00454E19">
        <w:tc>
          <w:tcPr>
            <w:tcW w:w="1696" w:type="dxa"/>
          </w:tcPr>
          <w:p w14:paraId="67C1F1FC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66D346E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</w:p>
        </w:tc>
      </w:tr>
      <w:tr w:rsidR="00F05572" w:rsidRPr="001D3806" w14:paraId="199559D7" w14:textId="77777777" w:rsidTr="00454E19">
        <w:tc>
          <w:tcPr>
            <w:tcW w:w="1696" w:type="dxa"/>
          </w:tcPr>
          <w:p w14:paraId="518E58F4" w14:textId="77777777" w:rsidR="00F05572" w:rsidRPr="001D3806" w:rsidRDefault="00F05572" w:rsidP="00454E19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CF762C7" w14:textId="552789C2" w:rsidR="00F05572" w:rsidRPr="001D3806" w:rsidRDefault="00746023" w:rsidP="00454E1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D57155">
              <w:rPr>
                <w:rFonts w:ascii="Cambria" w:hAnsi="Cambria"/>
              </w:rPr>
              <w:t>5</w:t>
            </w:r>
            <w:r w:rsidR="00F05572">
              <w:rPr>
                <w:rFonts w:ascii="Cambria" w:hAnsi="Cambria"/>
              </w:rPr>
              <w:t>-0</w:t>
            </w:r>
            <w:r w:rsidR="00802BF6">
              <w:rPr>
                <w:rFonts w:ascii="Cambria" w:hAnsi="Cambria"/>
              </w:rPr>
              <w:t>5</w:t>
            </w:r>
            <w:r w:rsidR="00F05572">
              <w:rPr>
                <w:rFonts w:ascii="Cambria" w:hAnsi="Cambria"/>
              </w:rPr>
              <w:t>-2025</w:t>
            </w:r>
          </w:p>
        </w:tc>
      </w:tr>
    </w:tbl>
    <w:p w14:paraId="11A45604" w14:textId="0D5A96ED" w:rsidR="00F05572" w:rsidRPr="001D3806" w:rsidRDefault="00F05572" w:rsidP="00F05572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</w:t>
      </w:r>
      <w:r w:rsidR="00D57155">
        <w:rPr>
          <w:rFonts w:ascii="Cambria" w:hAnsi="Cambria"/>
          <w:b/>
          <w:bCs/>
        </w:rPr>
        <w:t>Explicar la catástrofe demográfica tras la llegada de los europeos a partir de fuentes para el respeto de derechos de todas las personas</w:t>
      </w:r>
      <w:r w:rsidR="00802BF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688480D0" w14:textId="77777777" w:rsidR="00F05572" w:rsidRDefault="00F05572" w:rsidP="00F05572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3E4E8F98" w14:textId="77777777" w:rsidR="00F05572" w:rsidRPr="0032604A" w:rsidRDefault="00F05572" w:rsidP="00F0557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4A52E671" w14:textId="370F75D7" w:rsidR="007F71EC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Explicas las causas que ocasionaron la catástrofe demográfica de la población indígena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5C4D" w14:paraId="60672C92" w14:textId="77777777" w:rsidTr="00FF5C4D">
        <w:tc>
          <w:tcPr>
            <w:tcW w:w="4414" w:type="dxa"/>
          </w:tcPr>
          <w:p w14:paraId="17358A7F" w14:textId="5D41DB07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Causa</w:t>
            </w:r>
          </w:p>
        </w:tc>
        <w:tc>
          <w:tcPr>
            <w:tcW w:w="4414" w:type="dxa"/>
          </w:tcPr>
          <w:p w14:paraId="7C0ED751" w14:textId="49070995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Explicación</w:t>
            </w:r>
          </w:p>
        </w:tc>
      </w:tr>
      <w:tr w:rsidR="00FF5C4D" w14:paraId="4D878FCF" w14:textId="77777777" w:rsidTr="00FF5C4D">
        <w:tc>
          <w:tcPr>
            <w:tcW w:w="4414" w:type="dxa"/>
          </w:tcPr>
          <w:p w14:paraId="7125B77A" w14:textId="46104840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Biológica sanitaria</w:t>
            </w:r>
          </w:p>
        </w:tc>
        <w:tc>
          <w:tcPr>
            <w:tcW w:w="4414" w:type="dxa"/>
          </w:tcPr>
          <w:p w14:paraId="4EFCA660" w14:textId="77777777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F5C4D" w14:paraId="074C36F7" w14:textId="77777777" w:rsidTr="00FF5C4D">
        <w:tc>
          <w:tcPr>
            <w:tcW w:w="4414" w:type="dxa"/>
          </w:tcPr>
          <w:p w14:paraId="64A4D75B" w14:textId="56B6E11E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Bélica</w:t>
            </w:r>
          </w:p>
        </w:tc>
        <w:tc>
          <w:tcPr>
            <w:tcW w:w="4414" w:type="dxa"/>
          </w:tcPr>
          <w:p w14:paraId="22E6B220" w14:textId="77777777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F5C4D" w14:paraId="755A4E9E" w14:textId="77777777" w:rsidTr="00FF5C4D">
        <w:tc>
          <w:tcPr>
            <w:tcW w:w="4414" w:type="dxa"/>
          </w:tcPr>
          <w:p w14:paraId="11E56432" w14:textId="484D7E49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Económica laboral</w:t>
            </w:r>
          </w:p>
        </w:tc>
        <w:tc>
          <w:tcPr>
            <w:tcW w:w="4414" w:type="dxa"/>
          </w:tcPr>
          <w:p w14:paraId="28418A10" w14:textId="77777777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F5C4D" w14:paraId="70D07659" w14:textId="77777777" w:rsidTr="00FF5C4D">
        <w:tc>
          <w:tcPr>
            <w:tcW w:w="4414" w:type="dxa"/>
          </w:tcPr>
          <w:p w14:paraId="586A87D6" w14:textId="51BFA485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  <w:t>Cultural, social y resistencia</w:t>
            </w:r>
          </w:p>
        </w:tc>
        <w:tc>
          <w:tcPr>
            <w:tcW w:w="4414" w:type="dxa"/>
          </w:tcPr>
          <w:p w14:paraId="09E9FE61" w14:textId="77777777" w:rsidR="00FF5C4D" w:rsidRDefault="00FF5C4D" w:rsidP="00FF5C4D">
            <w:pPr>
              <w:rPr>
                <w:rFonts w:ascii="Cambria" w:eastAsia="Times New Roman" w:hAnsi="Cambria" w:cs="Times New Roman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5227573E" w14:textId="052BCEF8" w:rsidR="00FF5C4D" w:rsidRPr="00FF5C4D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¿Cuál fue el papel de las enfermedades en el descenso de la población indígena? ¿Fue un hecho intencionado?</w:t>
      </w:r>
    </w:p>
    <w:p w14:paraId="32DDEA77" w14:textId="471FD2D6" w:rsidR="00FF5C4D" w:rsidRPr="00FF5C4D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rol cumplieron las guerras de conquista y las acciones de los propios conquistadores?</w:t>
      </w:r>
    </w:p>
    <w:p w14:paraId="5BB5992C" w14:textId="625A6DB0" w:rsidR="00FF5C4D" w:rsidRPr="00FF5C4D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¿Se puede hablar de un genocidio, o es más apropiado hablar de una catástrofe demográfica? Fundamenta.</w:t>
      </w:r>
    </w:p>
    <w:p w14:paraId="1A0D45ED" w14:textId="60C20DCA" w:rsidR="00FF5C4D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muestra la fuente 3 sobre la capacidad de resistencia y adaptación de los pueblos indígenas tras la catástrofe?</w:t>
      </w:r>
    </w:p>
    <w:p w14:paraId="1BA35F0D" w14:textId="45CE089E" w:rsidR="00FF5C4D" w:rsidRPr="00FF5C4D" w:rsidRDefault="00FF5C4D" w:rsidP="00FF5C4D">
      <w:pPr>
        <w:pStyle w:val="Prrafodelist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¿Qué nos enseña el desastre demográfico sobre los efectos del colonialismo temprano?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FF5C4D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¿Por qué es importante hablar de estos temas en la actualidad?</w:t>
      </w:r>
    </w:p>
    <w:p w14:paraId="7925E3CC" w14:textId="538D7AD5" w:rsidR="00746023" w:rsidRPr="007F71EC" w:rsidRDefault="00746023" w:rsidP="007F71EC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7F71EC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1:</w:t>
      </w:r>
    </w:p>
    <w:p w14:paraId="6A4C762C" w14:textId="21651A48" w:rsidR="00D57155" w:rsidRPr="00D57155" w:rsidRDefault="00D57155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“Causa nada deliberada del descenso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la población fue [...] la propagación de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las epidemias. Estos morbos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–especialmente la viruela, la malaria,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sarampión, el tifus y la gripe– que asolaban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 Europa regularmente, saltaron pronto al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Nuevo Mundo. Vinieron a la rastra de los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invasores y encontraron aquí huéspedes sin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inmunidad. [...] En los indios, vulnerables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tanto más por la malnutrición derivada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del cambio en la dieta y por los abusos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la explotación, los agentes patógenos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se ensañaron con virulencia. Los estragos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fueron enormes y fulminantes”.</w:t>
      </w:r>
    </w:p>
    <w:p w14:paraId="53D27DD6" w14:textId="77777777" w:rsidR="00D57155" w:rsidRDefault="00D57155" w:rsidP="00D5715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proofErr w:type="spellStart"/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Bethell</w:t>
      </w:r>
      <w:proofErr w:type="spellEnd"/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, Leslie (ed.) (1990).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Historia de América Latina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6437CDC" w14:textId="0F694040" w:rsidR="00746023" w:rsidRDefault="00746023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2:</w:t>
      </w:r>
    </w:p>
    <w:p w14:paraId="17C3DAEF" w14:textId="57FE097A" w:rsidR="00D57155" w:rsidRPr="00D57155" w:rsidRDefault="00D57155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“En Perú y Nueva España la reducción de la población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indígena se caracterizó por un primer colapso brusco,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entre 1520 – 1530 y 1550, con mermas casi absolutas en las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zonas bajas calientes de la costa y descensos diferenciales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 las tierras altas del interior, que oscilan entre el 50 y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75-80 % del grupo adulto masculino. Las causas del colapso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fueron mencionadas por los cronistas. Para el caso del Perú,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enfatizaron la mortandad indígena ocasionada por las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guerras de conquista y entre las mismas huestes españolas,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periodos de hambre derivados de esas guerras y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desorden codicioso de los europeos para obtener oro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plata, factores a los cuales cabe añadir la sobremortalidad de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la guerra de sucesión entre Huáscar y Atahualpa”.</w:t>
      </w:r>
    </w:p>
    <w:p w14:paraId="081E79B0" w14:textId="77777777" w:rsidR="00D57155" w:rsidRDefault="00D57155" w:rsidP="00D5715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proofErr w:type="spellStart"/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Assadourian</w:t>
      </w:r>
      <w:proofErr w:type="spellEnd"/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, Carlos (1989).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La despoblación indígena en Perú y Nueva España durante el siglo XVI y la formación de la economía colonial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1B9F96EB" w14:textId="4B153852" w:rsidR="00746023" w:rsidRDefault="00746023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3:</w:t>
      </w:r>
    </w:p>
    <w:p w14:paraId="41A108E6" w14:textId="19900DC9" w:rsidR="00D57155" w:rsidRPr="00D57155" w:rsidRDefault="00D57155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“Ahora bien, si excluimos a las poblaciones indígenas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aniquiladas por la catástrofe demográfica del siglo XVI,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 particular las de las Antillas, casi todas las demás de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América española encontraron en sus propias culturas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en la necesidad de supervivencia los mecanismos que les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permitieron seguir siendo indígenas y a la vez pertenecer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 una comunidad más amplia, la sociedad colonial, que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participaba a su vez de un imperio poderosamente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integrado a la economía-mundo. En este final del siglo XX,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 quinientos años del acontecimiento considerado por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unos como un milagro providencial y por muchos como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un cataclismo, el individuo de Nuevo México, Chiapas o del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altiplano andino es obviamente distinto de lo que habría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sido si no hubiesen llegado los europeos a sus tierras en el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siglo XVI. Pero el hecho de que siga siendo indígena, por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voluntad propia y ante la mirada de los demás, revela la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extraordinaria capacidad de asimilación, recuperación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finalmente de supervivencia tanto de sus ancestros como,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desde luego, de sus coetáneos”.</w:t>
      </w:r>
    </w:p>
    <w:p w14:paraId="7083CE91" w14:textId="466D8666" w:rsidR="00746023" w:rsidRDefault="00D57155" w:rsidP="00D5715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Alberro, Solange (2004). </w:t>
      </w:r>
      <w:r w:rsidRPr="00D5715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Los siete mitos de la conquista española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3D8D367E" w14:textId="2D73B4B6" w:rsidR="00746023" w:rsidRDefault="00746023" w:rsidP="00746023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Fuente 4:</w:t>
      </w:r>
    </w:p>
    <w:p w14:paraId="47743B98" w14:textId="68826C5B" w:rsidR="00D57155" w:rsidRPr="00D57155" w:rsidRDefault="00D57155" w:rsidP="00D57155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“Los españoles trataron a estas mansísimas ovejas, 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olvidándose de ser hombres, y ejerciendo la crueldad de lobos,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 tigres, y de leones hambrientos. De cuarenta años a esta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parte, no han hecho ni hacen sino perseguirlas, oprimirlas,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destrozarlas y aniquilarlas por cuantas maneras conocían ya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los hombres y por las nuevas que han inventado ellos. Así hay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ahora en la Isla Española solo doscientas personas naturales de</w:t>
      </w:r>
      <w:r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 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allí, habiendo habido en el principio hasta tres millones”.</w:t>
      </w:r>
    </w:p>
    <w:p w14:paraId="116C1B24" w14:textId="51D43922" w:rsidR="00D57155" w:rsidRPr="00746023" w:rsidRDefault="00D57155" w:rsidP="00D57155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 xml:space="preserve">Casas, Bartolomé de las (1552). </w:t>
      </w:r>
      <w:r w:rsidRPr="00D57155">
        <w:rPr>
          <w:rFonts w:ascii="Cambria" w:eastAsia="Times New Roman" w:hAnsi="Cambria" w:cs="Times New Roman"/>
          <w:i/>
          <w:iCs/>
          <w:sz w:val="20"/>
          <w:szCs w:val="20"/>
          <w:lang w:eastAsia="es-CL"/>
          <w14:ligatures w14:val="none"/>
        </w:rPr>
        <w:t>Brevísima relación de la destrucción de las Indias</w:t>
      </w:r>
      <w:r w:rsidRPr="00D57155"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  <w:t>.</w:t>
      </w:r>
    </w:p>
    <w:p w14:paraId="555A5CD4" w14:textId="72C9E19A" w:rsidR="00746023" w:rsidRPr="00746023" w:rsidRDefault="00746023" w:rsidP="00746023">
      <w:pPr>
        <w:spacing w:after="0"/>
        <w:jc w:val="right"/>
        <w:rPr>
          <w:rFonts w:ascii="Cambria" w:eastAsia="Times New Roman" w:hAnsi="Cambria" w:cs="Times New Roman"/>
          <w:sz w:val="20"/>
          <w:szCs w:val="20"/>
          <w:lang w:eastAsia="es-CL"/>
          <w14:ligatures w14:val="none"/>
        </w:rPr>
      </w:pPr>
    </w:p>
    <w:sectPr w:rsidR="00746023" w:rsidRPr="00746023" w:rsidSect="001225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8F53" w14:textId="77777777" w:rsidR="000C7535" w:rsidRDefault="000C7535" w:rsidP="00F05572">
      <w:pPr>
        <w:spacing w:after="0" w:line="240" w:lineRule="auto"/>
      </w:pPr>
      <w:r>
        <w:separator/>
      </w:r>
    </w:p>
  </w:endnote>
  <w:endnote w:type="continuationSeparator" w:id="0">
    <w:p w14:paraId="32F16129" w14:textId="77777777" w:rsidR="000C7535" w:rsidRDefault="000C7535" w:rsidP="00F0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20AA" w14:textId="77777777" w:rsidR="000C7535" w:rsidRDefault="000C7535" w:rsidP="00F05572">
      <w:pPr>
        <w:spacing w:after="0" w:line="240" w:lineRule="auto"/>
      </w:pPr>
      <w:r>
        <w:separator/>
      </w:r>
    </w:p>
  </w:footnote>
  <w:footnote w:type="continuationSeparator" w:id="0">
    <w:p w14:paraId="47AD000C" w14:textId="77777777" w:rsidR="000C7535" w:rsidRDefault="000C7535" w:rsidP="00F0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0949" w14:textId="4578933D" w:rsidR="00F05572" w:rsidRDefault="001225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5001" wp14:editId="1B5921F6">
              <wp:simplePos x="0" y="0"/>
              <wp:positionH relativeFrom="column">
                <wp:posOffset>4406900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20657660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BBD0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1B09ACE" w14:textId="77777777" w:rsidR="00F05572" w:rsidRPr="00732B2B" w:rsidRDefault="00F05572" w:rsidP="00F0557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6F2F86B5" w14:textId="77777777" w:rsidR="00F05572" w:rsidRPr="00732B2B" w:rsidRDefault="00F05572" w:rsidP="00F0557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050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L8z1cN4AAAAKAQAADwAAAGRycy9kb3du&#10;cmV2LnhtbEyPzW7CMBCE75X6DtZW6g1sENAS4iDUH6mHXqDp3cQmjhqvo3gh4e277aW97e6MZr/J&#10;t2NoxcX1qYmoYTZVIBxW0TZYayg/XiePIBIZtKaN6DRcXYJtcXuTm8zGAffucqBacAimzGjwRF0m&#10;Zaq8CyZNY+eQtVPsgyFe+1ra3gwcHlo5V2olg2mQP3jTuSfvqq/DOWggsrvZtXwJ6e1zfH8evKqW&#10;ptT6/m7cbUCQG+nPDD/4jA4FMx3jGW0SrYbVesFdSMNkvuSBHevfy1HDg1qALHL5v0LxD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C/M9XDeAAAACgEAAA8AAAAAAAAAAAAAAAAA3AMA&#10;AGRycy9kb3ducmV2LnhtbFBLBQYAAAAABAAEAPMAAADnBAAAAAA=&#10;" filled="f" stroked="f">
              <v:textbox style="mso-fit-shape-to-text:t">
                <w:txbxContent>
                  <w:p w14:paraId="509BBD0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1B09ACE" w14:textId="77777777" w:rsidR="00F05572" w:rsidRPr="00732B2B" w:rsidRDefault="00F05572" w:rsidP="00F0557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6F2F86B5" w14:textId="77777777" w:rsidR="00F05572" w:rsidRPr="00732B2B" w:rsidRDefault="00F05572" w:rsidP="00F0557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0745E" wp14:editId="3E4BE0E1">
              <wp:simplePos x="0" y="0"/>
              <wp:positionH relativeFrom="column">
                <wp:posOffset>-473075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42150781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7E443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7C7E55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607723A" w14:textId="77777777" w:rsidR="00F05572" w:rsidRDefault="00F05572" w:rsidP="00F0557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903940B" wp14:editId="1953688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E0745E" id="Cuadro de texto 1" o:spid="_x0000_s1027" type="#_x0000_t202" style="position:absolute;margin-left:-37.25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4eSzluEAAAAKAQAADwAAAAAAAAAAAAAAAAAyBAAAZHJzL2Rvd25yZXYueG1sUEsFBgAAAAAE&#10;AAQA8wAAAEAFAAAAAA==&#10;" filled="f" stroked="f">
              <v:textbox inset="0,0,0,0">
                <w:txbxContent>
                  <w:p w14:paraId="0177E443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7C7E55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1607723A" w14:textId="77777777" w:rsidR="00F05572" w:rsidRDefault="00F05572" w:rsidP="00F0557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903940B" wp14:editId="1953688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C3F"/>
    <w:multiLevelType w:val="hybridMultilevel"/>
    <w:tmpl w:val="43A09C38"/>
    <w:lvl w:ilvl="0" w:tplc="D53C0DA2">
      <w:start w:val="1"/>
      <w:numFmt w:val="decimal"/>
      <w:lvlText w:val="%1)"/>
      <w:lvlJc w:val="left"/>
      <w:pPr>
        <w:ind w:left="1080" w:hanging="360"/>
      </w:pPr>
      <w:rPr>
        <w:rFonts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F264D"/>
    <w:multiLevelType w:val="hybridMultilevel"/>
    <w:tmpl w:val="11C887D4"/>
    <w:lvl w:ilvl="0" w:tplc="FDEA9E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1A8C"/>
    <w:multiLevelType w:val="hybridMultilevel"/>
    <w:tmpl w:val="F96AF25C"/>
    <w:lvl w:ilvl="0" w:tplc="3A0AE93A">
      <w:start w:val="8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225376">
    <w:abstractNumId w:val="2"/>
  </w:num>
  <w:num w:numId="2" w16cid:durableId="1060403744">
    <w:abstractNumId w:val="1"/>
  </w:num>
  <w:num w:numId="3" w16cid:durableId="1503088037">
    <w:abstractNumId w:val="0"/>
  </w:num>
  <w:num w:numId="4" w16cid:durableId="194992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72"/>
    <w:rsid w:val="00097DEE"/>
    <w:rsid w:val="000C7535"/>
    <w:rsid w:val="00113D28"/>
    <w:rsid w:val="00122573"/>
    <w:rsid w:val="00197DFB"/>
    <w:rsid w:val="00260D82"/>
    <w:rsid w:val="002611AB"/>
    <w:rsid w:val="002B7761"/>
    <w:rsid w:val="0035559E"/>
    <w:rsid w:val="0041352A"/>
    <w:rsid w:val="00443B78"/>
    <w:rsid w:val="004450C2"/>
    <w:rsid w:val="00486F8D"/>
    <w:rsid w:val="004B6D70"/>
    <w:rsid w:val="005206A2"/>
    <w:rsid w:val="005F5AD7"/>
    <w:rsid w:val="00636EAF"/>
    <w:rsid w:val="00674EE0"/>
    <w:rsid w:val="00682661"/>
    <w:rsid w:val="006C0F88"/>
    <w:rsid w:val="006F1846"/>
    <w:rsid w:val="007328DD"/>
    <w:rsid w:val="00746023"/>
    <w:rsid w:val="007F71EC"/>
    <w:rsid w:val="00802BF6"/>
    <w:rsid w:val="00A078DB"/>
    <w:rsid w:val="00A970F6"/>
    <w:rsid w:val="00B434E2"/>
    <w:rsid w:val="00BB450A"/>
    <w:rsid w:val="00BD6EC2"/>
    <w:rsid w:val="00C651FB"/>
    <w:rsid w:val="00D57155"/>
    <w:rsid w:val="00F05572"/>
    <w:rsid w:val="00F3235B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2E56"/>
  <w15:chartTrackingRefBased/>
  <w15:docId w15:val="{E8F84BBC-8C6C-4833-BC04-4A2BAB9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0557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0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5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5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5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5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557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557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557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557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557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557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557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557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05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57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05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557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0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557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05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5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557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05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57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5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57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0557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572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2025-05-05T17:23:00Z</cp:lastPrinted>
  <dcterms:created xsi:type="dcterms:W3CDTF">2025-05-05T17:24:00Z</dcterms:created>
  <dcterms:modified xsi:type="dcterms:W3CDTF">2025-05-05T17:24:00Z</dcterms:modified>
</cp:coreProperties>
</file>